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05" w:rsidRDefault="006C7455">
      <w:pPr>
        <w:spacing w:beforeLines="50" w:before="156" w:line="400" w:lineRule="exact"/>
        <w:rPr>
          <w:rFonts w:ascii="仿宋_GB2312" w:eastAsia="仿宋_GB2312" w:hAnsiTheme="minorEastAsia" w:cs="宋体"/>
          <w:kern w:val="0"/>
          <w:sz w:val="32"/>
          <w:szCs w:val="32"/>
        </w:rPr>
      </w:pPr>
      <w:r>
        <w:rPr>
          <w:rFonts w:ascii="仿宋_GB2312" w:eastAsia="仿宋_GB2312" w:hAnsiTheme="minorEastAsia" w:cs="宋体" w:hint="eastAsia"/>
          <w:kern w:val="0"/>
          <w:sz w:val="32"/>
          <w:szCs w:val="32"/>
        </w:rPr>
        <w:t>附件</w:t>
      </w:r>
      <w:r>
        <w:rPr>
          <w:rFonts w:ascii="仿宋_GB2312" w:eastAsia="仿宋_GB2312" w:hAnsiTheme="minorEastAsia" w:cs="宋体" w:hint="eastAsia"/>
          <w:kern w:val="0"/>
          <w:sz w:val="32"/>
          <w:szCs w:val="32"/>
        </w:rPr>
        <w:t>1</w:t>
      </w:r>
    </w:p>
    <w:p w:rsidR="006C7455" w:rsidRDefault="006C7455">
      <w:pPr>
        <w:widowControl/>
        <w:spacing w:line="0" w:lineRule="atLeast"/>
        <w:jc w:val="center"/>
        <w:rPr>
          <w:rFonts w:ascii="方正小标宋简体" w:eastAsia="方正小标宋简体" w:hAnsi="黑体" w:cs="Arial" w:hint="eastAsia"/>
          <w:b/>
          <w:bCs/>
          <w:kern w:val="0"/>
          <w:sz w:val="36"/>
          <w:szCs w:val="36"/>
        </w:rPr>
      </w:pPr>
    </w:p>
    <w:p w:rsidR="007D4005" w:rsidRPr="006C7455" w:rsidRDefault="006C7455">
      <w:pPr>
        <w:widowControl/>
        <w:spacing w:line="0" w:lineRule="atLeast"/>
        <w:jc w:val="center"/>
        <w:rPr>
          <w:rFonts w:ascii="方正小标宋_GBK" w:eastAsia="方正小标宋_GBK" w:hAnsi="黑体" w:hint="eastAsia"/>
          <w:bCs/>
          <w:sz w:val="44"/>
          <w:szCs w:val="44"/>
        </w:rPr>
      </w:pPr>
      <w:r w:rsidRPr="006C7455">
        <w:rPr>
          <w:rFonts w:ascii="方正小标宋_GBK" w:eastAsia="方正小标宋_GBK" w:hAnsi="黑体" w:cs="Arial" w:hint="eastAsia"/>
          <w:bCs/>
          <w:kern w:val="0"/>
          <w:sz w:val="44"/>
          <w:szCs w:val="44"/>
        </w:rPr>
        <w:t>新增</w:t>
      </w:r>
      <w:r w:rsidRPr="006C7455">
        <w:rPr>
          <w:rFonts w:ascii="方正小标宋_GBK" w:eastAsia="方正小标宋_GBK" w:hAnsi="黑体" w:cs="Arial" w:hint="eastAsia"/>
          <w:bCs/>
          <w:kern w:val="0"/>
          <w:sz w:val="44"/>
          <w:szCs w:val="44"/>
        </w:rPr>
        <w:t>教学科研</w:t>
      </w:r>
      <w:r w:rsidRPr="006C7455">
        <w:rPr>
          <w:rFonts w:ascii="方正小标宋_GBK" w:eastAsia="方正小标宋_GBK" w:hAnsi="黑体" w:cs="Arial" w:hint="eastAsia"/>
          <w:bCs/>
          <w:kern w:val="0"/>
          <w:sz w:val="44"/>
          <w:szCs w:val="44"/>
        </w:rPr>
        <w:t>用房</w:t>
      </w:r>
      <w:r w:rsidRPr="006C7455">
        <w:rPr>
          <w:rFonts w:ascii="方正小标宋_GBK" w:eastAsia="方正小标宋_GBK" w:hAnsi="黑体" w:cs="Arial" w:hint="eastAsia"/>
          <w:bCs/>
          <w:kern w:val="0"/>
          <w:sz w:val="44"/>
          <w:szCs w:val="44"/>
        </w:rPr>
        <w:t>KPI</w:t>
      </w:r>
      <w:r w:rsidRPr="006C7455">
        <w:rPr>
          <w:rFonts w:ascii="方正小标宋_GBK" w:eastAsia="方正小标宋_GBK" w:hAnsi="黑体" w:cs="Arial" w:hint="eastAsia"/>
          <w:bCs/>
          <w:kern w:val="0"/>
          <w:sz w:val="44"/>
          <w:szCs w:val="44"/>
        </w:rPr>
        <w:t>考核</w:t>
      </w:r>
      <w:r w:rsidRPr="006C7455">
        <w:rPr>
          <w:rFonts w:ascii="方正小标宋_GBK" w:eastAsia="方正小标宋_GBK" w:hAnsi="黑体" w:hint="eastAsia"/>
          <w:bCs/>
          <w:sz w:val="44"/>
          <w:szCs w:val="44"/>
        </w:rPr>
        <w:t>指标体系</w:t>
      </w:r>
    </w:p>
    <w:p w:rsidR="007D4005" w:rsidRDefault="007D4005">
      <w:pPr>
        <w:widowControl/>
        <w:spacing w:line="0" w:lineRule="atLeast"/>
        <w:jc w:val="center"/>
        <w:rPr>
          <w:rFonts w:ascii="方正小标宋简体" w:eastAsia="方正小标宋简体" w:hAnsi="黑体"/>
          <w:sz w:val="32"/>
          <w:szCs w:val="32"/>
        </w:rPr>
      </w:pPr>
    </w:p>
    <w:tbl>
      <w:tblPr>
        <w:tblStyle w:val="a3"/>
        <w:tblW w:w="5000" w:type="pct"/>
        <w:jc w:val="center"/>
        <w:tblLook w:val="04A0" w:firstRow="1" w:lastRow="0" w:firstColumn="1" w:lastColumn="0" w:noHBand="0" w:noVBand="1"/>
      </w:tblPr>
      <w:tblGrid>
        <w:gridCol w:w="2037"/>
        <w:gridCol w:w="7023"/>
      </w:tblGrid>
      <w:tr w:rsidR="007D4005" w:rsidTr="006C7455">
        <w:trPr>
          <w:trHeight w:val="574"/>
          <w:jc w:val="center"/>
        </w:trPr>
        <w:tc>
          <w:tcPr>
            <w:tcW w:w="1124" w:type="pct"/>
            <w:vAlign w:val="center"/>
          </w:tcPr>
          <w:p w:rsidR="007D4005" w:rsidRDefault="006C7455">
            <w:pPr>
              <w:adjustRightInd w:val="0"/>
              <w:snapToGrid w:val="0"/>
              <w:spacing w:line="0" w:lineRule="atLeast"/>
              <w:jc w:val="center"/>
              <w:rPr>
                <w:rFonts w:ascii="黑体" w:eastAsia="黑体" w:hAnsi="黑体" w:cs="Times New Roman"/>
                <w:sz w:val="28"/>
                <w:szCs w:val="28"/>
              </w:rPr>
            </w:pPr>
            <w:r>
              <w:rPr>
                <w:rFonts w:ascii="黑体" w:eastAsia="黑体" w:hAnsi="黑体" w:cs="Times New Roman" w:hint="eastAsia"/>
                <w:sz w:val="28"/>
                <w:szCs w:val="28"/>
              </w:rPr>
              <w:t>一级指标</w:t>
            </w:r>
          </w:p>
        </w:tc>
        <w:tc>
          <w:tcPr>
            <w:tcW w:w="3876" w:type="pct"/>
            <w:vAlign w:val="center"/>
          </w:tcPr>
          <w:p w:rsidR="007D4005" w:rsidRDefault="006C7455">
            <w:pPr>
              <w:adjustRightInd w:val="0"/>
              <w:snapToGrid w:val="0"/>
              <w:spacing w:line="0" w:lineRule="atLeast"/>
              <w:jc w:val="center"/>
              <w:rPr>
                <w:rFonts w:ascii="黑体" w:eastAsia="黑体" w:hAnsi="黑体" w:cs="Times New Roman"/>
                <w:sz w:val="28"/>
                <w:szCs w:val="28"/>
              </w:rPr>
            </w:pPr>
            <w:r>
              <w:rPr>
                <w:rFonts w:ascii="黑体" w:eastAsia="黑体" w:hAnsi="黑体" w:cs="Times New Roman" w:hint="eastAsia"/>
                <w:sz w:val="28"/>
                <w:szCs w:val="28"/>
              </w:rPr>
              <w:t>二级指标</w:t>
            </w:r>
          </w:p>
        </w:tc>
      </w:tr>
      <w:tr w:rsidR="007D4005" w:rsidTr="006C7455">
        <w:trPr>
          <w:trHeight w:hRule="exact" w:val="567"/>
          <w:jc w:val="center"/>
        </w:trPr>
        <w:tc>
          <w:tcPr>
            <w:tcW w:w="1124" w:type="pct"/>
            <w:vMerge w:val="restart"/>
            <w:vAlign w:val="center"/>
          </w:tcPr>
          <w:p w:rsidR="007D4005" w:rsidRDefault="006C7455">
            <w:pPr>
              <w:adjustRightInd w:val="0"/>
              <w:snapToGrid w:val="0"/>
              <w:spacing w:line="0" w:lineRule="atLeast"/>
              <w:jc w:val="center"/>
              <w:rPr>
                <w:rFonts w:ascii="仿宋_GB2312" w:eastAsia="仿宋_GB2312" w:hAnsiTheme="minorEastAsia" w:cs="Times New Roman"/>
                <w:sz w:val="28"/>
                <w:szCs w:val="28"/>
              </w:rPr>
            </w:pPr>
            <w:r>
              <w:rPr>
                <w:rFonts w:ascii="仿宋_GB2312" w:eastAsia="仿宋_GB2312" w:hAnsiTheme="minorEastAsia" w:cs="Times New Roman"/>
                <w:sz w:val="28"/>
                <w:szCs w:val="28"/>
              </w:rPr>
              <w:t>学科</w:t>
            </w:r>
            <w:r>
              <w:rPr>
                <w:rFonts w:ascii="仿宋_GB2312" w:eastAsia="仿宋_GB2312" w:hAnsiTheme="minorEastAsia" w:cs="Times New Roman" w:hint="eastAsia"/>
                <w:sz w:val="28"/>
                <w:szCs w:val="28"/>
              </w:rPr>
              <w:t>建设</w:t>
            </w: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教育</w:t>
            </w:r>
            <w:r>
              <w:rPr>
                <w:rFonts w:ascii="仿宋_GB2312" w:eastAsia="仿宋_GB2312" w:hAnsiTheme="minorEastAsia" w:cs="Times New Roman"/>
                <w:sz w:val="28"/>
                <w:szCs w:val="28"/>
              </w:rPr>
              <w:t>部学科排名</w:t>
            </w:r>
            <w:r>
              <w:rPr>
                <w:rFonts w:ascii="仿宋_GB2312" w:eastAsia="仿宋_GB2312" w:hAnsiTheme="minorEastAsia" w:cs="Times New Roman" w:hint="eastAsia"/>
                <w:sz w:val="28"/>
                <w:szCs w:val="28"/>
              </w:rPr>
              <w:t>提升（档次</w:t>
            </w:r>
            <w:r>
              <w:rPr>
                <w:rFonts w:ascii="仿宋_GB2312" w:eastAsia="仿宋_GB2312" w:hAnsiTheme="minorEastAsia" w:cs="Times New Roman"/>
                <w:sz w:val="28"/>
                <w:szCs w:val="28"/>
              </w:rPr>
              <w:t>及区间</w:t>
            </w:r>
            <w:r>
              <w:rPr>
                <w:rFonts w:ascii="仿宋_GB2312" w:eastAsia="仿宋_GB2312" w:hAnsiTheme="minorEastAsia" w:cs="Times New Roman" w:hint="eastAsia"/>
                <w:sz w:val="28"/>
                <w:szCs w:val="28"/>
              </w:rPr>
              <w:t>）</w:t>
            </w:r>
          </w:p>
        </w:tc>
      </w:tr>
      <w:tr w:rsidR="007D4005" w:rsidTr="006C7455">
        <w:trPr>
          <w:trHeight w:hRule="exact" w:val="567"/>
          <w:jc w:val="center"/>
        </w:trPr>
        <w:tc>
          <w:tcPr>
            <w:tcW w:w="1124" w:type="pct"/>
            <w:vMerge/>
            <w:vAlign w:val="center"/>
          </w:tcPr>
          <w:p w:rsidR="007D4005" w:rsidRDefault="007D4005">
            <w:pPr>
              <w:adjustRightInd w:val="0"/>
              <w:snapToGrid w:val="0"/>
              <w:spacing w:line="0" w:lineRule="atLeast"/>
              <w:jc w:val="center"/>
              <w:rPr>
                <w:rFonts w:ascii="仿宋_GB2312" w:eastAsia="仿宋_GB2312" w:hAnsiTheme="minorEastAsia" w:cs="Times New Roman"/>
                <w:sz w:val="28"/>
                <w:szCs w:val="28"/>
              </w:rPr>
            </w:pP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教育</w:t>
            </w:r>
            <w:r>
              <w:rPr>
                <w:rFonts w:ascii="仿宋_GB2312" w:eastAsia="仿宋_GB2312" w:hAnsiTheme="minorEastAsia" w:cs="Times New Roman"/>
                <w:sz w:val="28"/>
                <w:szCs w:val="28"/>
              </w:rPr>
              <w:t>部学科排名</w:t>
            </w:r>
            <w:r>
              <w:rPr>
                <w:rFonts w:ascii="仿宋_GB2312" w:eastAsia="仿宋_GB2312" w:hAnsiTheme="minorEastAsia" w:cs="Times New Roman" w:hint="eastAsia"/>
                <w:sz w:val="28"/>
                <w:szCs w:val="28"/>
              </w:rPr>
              <w:t>相对提升</w:t>
            </w:r>
            <w:r>
              <w:rPr>
                <w:rFonts w:ascii="仿宋_GB2312" w:eastAsia="仿宋_GB2312" w:hAnsiTheme="minorEastAsia" w:cs="Times New Roman"/>
                <w:sz w:val="28"/>
                <w:szCs w:val="28"/>
              </w:rPr>
              <w:t>（</w:t>
            </w:r>
            <w:r>
              <w:rPr>
                <w:rFonts w:ascii="仿宋_GB2312" w:eastAsia="仿宋_GB2312" w:hAnsiTheme="minorEastAsia" w:cs="Times New Roman" w:hint="eastAsia"/>
                <w:sz w:val="28"/>
                <w:szCs w:val="28"/>
              </w:rPr>
              <w:t>百分比</w:t>
            </w:r>
            <w:r>
              <w:rPr>
                <w:rFonts w:ascii="仿宋_GB2312" w:eastAsia="仿宋_GB2312" w:hAnsiTheme="minorEastAsia" w:cs="Times New Roman"/>
                <w:sz w:val="28"/>
                <w:szCs w:val="28"/>
              </w:rPr>
              <w:t>）</w:t>
            </w:r>
          </w:p>
        </w:tc>
      </w:tr>
      <w:tr w:rsidR="007D4005" w:rsidTr="006C7455">
        <w:trPr>
          <w:trHeight w:hRule="exact" w:val="567"/>
          <w:jc w:val="center"/>
        </w:trPr>
        <w:tc>
          <w:tcPr>
            <w:tcW w:w="1124" w:type="pct"/>
            <w:vMerge w:val="restart"/>
            <w:vAlign w:val="center"/>
          </w:tcPr>
          <w:p w:rsidR="007D4005" w:rsidRDefault="006C7455">
            <w:pPr>
              <w:adjustRightInd w:val="0"/>
              <w:snapToGrid w:val="0"/>
              <w:spacing w:line="0" w:lineRule="atLeast"/>
              <w:jc w:val="center"/>
              <w:rPr>
                <w:rFonts w:ascii="仿宋_GB2312" w:eastAsia="仿宋_GB2312" w:hAnsiTheme="minorEastAsia" w:cs="Times New Roman"/>
                <w:sz w:val="28"/>
                <w:szCs w:val="28"/>
              </w:rPr>
            </w:pPr>
            <w:proofErr w:type="gramStart"/>
            <w:r>
              <w:rPr>
                <w:rFonts w:ascii="仿宋_GB2312" w:eastAsia="仿宋_GB2312" w:hAnsiTheme="minorEastAsia" w:cs="Times New Roman" w:hint="eastAsia"/>
                <w:sz w:val="28"/>
                <w:szCs w:val="28"/>
              </w:rPr>
              <w:t>人才引育</w:t>
            </w:r>
            <w:proofErr w:type="gramEnd"/>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国家级高层次人才（人）</w:t>
            </w:r>
          </w:p>
        </w:tc>
      </w:tr>
      <w:tr w:rsidR="007D4005" w:rsidTr="006C7455">
        <w:trPr>
          <w:trHeight w:hRule="exact" w:val="567"/>
          <w:jc w:val="center"/>
        </w:trPr>
        <w:tc>
          <w:tcPr>
            <w:tcW w:w="1124" w:type="pct"/>
            <w:vMerge/>
            <w:vAlign w:val="center"/>
          </w:tcPr>
          <w:p w:rsidR="007D4005" w:rsidRDefault="007D4005">
            <w:pPr>
              <w:adjustRightInd w:val="0"/>
              <w:snapToGrid w:val="0"/>
              <w:spacing w:line="0" w:lineRule="atLeast"/>
              <w:jc w:val="center"/>
              <w:rPr>
                <w:rFonts w:ascii="仿宋_GB2312" w:eastAsia="仿宋_GB2312" w:hAnsiTheme="minorEastAsia" w:cs="Times New Roman"/>
                <w:sz w:val="28"/>
                <w:szCs w:val="28"/>
              </w:rPr>
            </w:pP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国家级青年人才（人）</w:t>
            </w:r>
          </w:p>
        </w:tc>
      </w:tr>
      <w:tr w:rsidR="007D4005" w:rsidTr="006C7455">
        <w:trPr>
          <w:trHeight w:hRule="exact" w:val="567"/>
          <w:jc w:val="center"/>
        </w:trPr>
        <w:tc>
          <w:tcPr>
            <w:tcW w:w="1124" w:type="pct"/>
            <w:vMerge w:val="restart"/>
            <w:vAlign w:val="center"/>
          </w:tcPr>
          <w:p w:rsidR="007D4005" w:rsidRDefault="006C7455">
            <w:pPr>
              <w:adjustRightInd w:val="0"/>
              <w:snapToGrid w:val="0"/>
              <w:spacing w:line="0" w:lineRule="atLeast"/>
              <w:jc w:val="center"/>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平台建设</w:t>
            </w: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Segoe UI Symbol"/>
                <w:sz w:val="28"/>
                <w:szCs w:val="28"/>
              </w:rPr>
            </w:pPr>
            <w:r>
              <w:rPr>
                <w:rFonts w:ascii="仿宋_GB2312" w:eastAsia="仿宋_GB2312" w:hAnsiTheme="minorEastAsia" w:cs="Times New Roman" w:hint="eastAsia"/>
                <w:sz w:val="28"/>
                <w:szCs w:val="28"/>
              </w:rPr>
              <w:t>国家级平台基地（</w:t>
            </w:r>
            <w:proofErr w:type="gramStart"/>
            <w:r>
              <w:rPr>
                <w:rFonts w:ascii="仿宋_GB2312" w:eastAsia="仿宋_GB2312" w:hAnsiTheme="minorEastAsia" w:cs="Times New Roman" w:hint="eastAsia"/>
                <w:sz w:val="28"/>
                <w:szCs w:val="28"/>
              </w:rPr>
              <w:t>个</w:t>
            </w:r>
            <w:proofErr w:type="gramEnd"/>
            <w:r>
              <w:rPr>
                <w:rFonts w:ascii="仿宋_GB2312" w:eastAsia="仿宋_GB2312" w:hAnsiTheme="minorEastAsia" w:cs="Times New Roman" w:hint="eastAsia"/>
                <w:sz w:val="28"/>
                <w:szCs w:val="28"/>
              </w:rPr>
              <w:t>）</w:t>
            </w:r>
          </w:p>
        </w:tc>
      </w:tr>
      <w:tr w:rsidR="007D4005" w:rsidTr="006C7455">
        <w:trPr>
          <w:trHeight w:hRule="exact" w:val="567"/>
          <w:jc w:val="center"/>
        </w:trPr>
        <w:tc>
          <w:tcPr>
            <w:tcW w:w="1124" w:type="pct"/>
            <w:vMerge/>
            <w:vAlign w:val="center"/>
          </w:tcPr>
          <w:p w:rsidR="007D4005" w:rsidRDefault="007D4005">
            <w:pPr>
              <w:adjustRightInd w:val="0"/>
              <w:snapToGrid w:val="0"/>
              <w:spacing w:line="0" w:lineRule="atLeast"/>
              <w:jc w:val="center"/>
              <w:rPr>
                <w:rFonts w:ascii="仿宋_GB2312" w:eastAsia="仿宋_GB2312" w:hAnsiTheme="minorEastAsia" w:cs="Times New Roman"/>
                <w:sz w:val="28"/>
                <w:szCs w:val="28"/>
              </w:rPr>
            </w:pP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省部级平台基地（</w:t>
            </w:r>
            <w:proofErr w:type="gramStart"/>
            <w:r>
              <w:rPr>
                <w:rFonts w:ascii="仿宋_GB2312" w:eastAsia="仿宋_GB2312" w:hAnsiTheme="minorEastAsia" w:cs="Times New Roman" w:hint="eastAsia"/>
                <w:sz w:val="28"/>
                <w:szCs w:val="28"/>
              </w:rPr>
              <w:t>个</w:t>
            </w:r>
            <w:proofErr w:type="gramEnd"/>
            <w:r>
              <w:rPr>
                <w:rFonts w:ascii="仿宋_GB2312" w:eastAsia="仿宋_GB2312" w:hAnsiTheme="minorEastAsia" w:cs="Times New Roman" w:hint="eastAsia"/>
                <w:sz w:val="28"/>
                <w:szCs w:val="28"/>
              </w:rPr>
              <w:t>）</w:t>
            </w:r>
          </w:p>
        </w:tc>
      </w:tr>
      <w:tr w:rsidR="007D4005" w:rsidTr="006C7455">
        <w:trPr>
          <w:trHeight w:hRule="exact" w:val="567"/>
          <w:jc w:val="center"/>
        </w:trPr>
        <w:tc>
          <w:tcPr>
            <w:tcW w:w="1124" w:type="pct"/>
            <w:vMerge w:val="restart"/>
            <w:vAlign w:val="center"/>
          </w:tcPr>
          <w:p w:rsidR="007D4005" w:rsidRDefault="006C7455">
            <w:pPr>
              <w:adjustRightInd w:val="0"/>
              <w:snapToGrid w:val="0"/>
              <w:spacing w:line="0" w:lineRule="atLeast"/>
              <w:jc w:val="center"/>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科研项目</w:t>
            </w: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国家级重大项目（项）</w:t>
            </w:r>
          </w:p>
        </w:tc>
      </w:tr>
      <w:tr w:rsidR="007D4005" w:rsidTr="006C7455">
        <w:trPr>
          <w:trHeight w:hRule="exact" w:val="567"/>
          <w:jc w:val="center"/>
        </w:trPr>
        <w:tc>
          <w:tcPr>
            <w:tcW w:w="1124" w:type="pct"/>
            <w:vMerge/>
            <w:vAlign w:val="center"/>
          </w:tcPr>
          <w:p w:rsidR="007D4005" w:rsidRDefault="007D4005">
            <w:pPr>
              <w:adjustRightInd w:val="0"/>
              <w:snapToGrid w:val="0"/>
              <w:spacing w:line="0" w:lineRule="atLeast"/>
              <w:jc w:val="center"/>
              <w:rPr>
                <w:rFonts w:ascii="仿宋_GB2312" w:eastAsia="仿宋_GB2312" w:hAnsiTheme="minorEastAsia" w:cs="Times New Roman"/>
                <w:sz w:val="28"/>
                <w:szCs w:val="28"/>
              </w:rPr>
            </w:pPr>
          </w:p>
        </w:tc>
        <w:tc>
          <w:tcPr>
            <w:tcW w:w="3876" w:type="pct"/>
            <w:vAlign w:val="center"/>
          </w:tcPr>
          <w:p w:rsidR="007D4005" w:rsidRDefault="006C7455">
            <w:pPr>
              <w:adjustRightInd w:val="0"/>
              <w:snapToGrid w:val="0"/>
              <w:spacing w:line="0" w:lineRule="atLeast"/>
              <w:jc w:val="left"/>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国家级重点项目（项）</w:t>
            </w:r>
          </w:p>
        </w:tc>
      </w:tr>
    </w:tbl>
    <w:p w:rsidR="007D4005" w:rsidRDefault="007D4005">
      <w:pPr>
        <w:widowControl/>
        <w:spacing w:line="0" w:lineRule="atLeast"/>
        <w:textAlignment w:val="top"/>
        <w:rPr>
          <w:rFonts w:ascii="仿宋_GB2312" w:eastAsia="仿宋_GB2312" w:hAnsi="仿宋" w:cs="Arial"/>
          <w:kern w:val="0"/>
          <w:sz w:val="24"/>
          <w:szCs w:val="24"/>
        </w:rPr>
      </w:pPr>
    </w:p>
    <w:p w:rsidR="007D4005" w:rsidRDefault="006C7455">
      <w:pPr>
        <w:widowControl/>
        <w:spacing w:line="0" w:lineRule="atLeast"/>
        <w:textAlignment w:val="top"/>
        <w:rPr>
          <w:rFonts w:ascii="仿宋_GB2312" w:eastAsia="仿宋_GB2312" w:hAnsi="仿宋" w:cs="Arial"/>
          <w:kern w:val="0"/>
          <w:sz w:val="24"/>
          <w:szCs w:val="24"/>
        </w:rPr>
      </w:pPr>
      <w:r>
        <w:rPr>
          <w:rFonts w:ascii="仿宋_GB2312" w:eastAsia="仿宋_GB2312" w:hAnsi="仿宋" w:cs="Arial" w:hint="eastAsia"/>
          <w:kern w:val="0"/>
          <w:sz w:val="24"/>
          <w:szCs w:val="24"/>
        </w:rPr>
        <w:t>注</w:t>
      </w:r>
      <w:r>
        <w:rPr>
          <w:rFonts w:ascii="仿宋_GB2312" w:eastAsia="仿宋_GB2312" w:hAnsi="仿宋" w:cs="Arial"/>
          <w:kern w:val="0"/>
          <w:sz w:val="24"/>
          <w:szCs w:val="24"/>
        </w:rPr>
        <w:t>：</w:t>
      </w:r>
    </w:p>
    <w:p w:rsidR="007D4005" w:rsidRDefault="006C7455" w:rsidP="006C7455">
      <w:pPr>
        <w:widowControl/>
        <w:spacing w:line="360" w:lineRule="exact"/>
        <w:ind w:firstLineChars="200" w:firstLine="480"/>
        <w:textAlignment w:val="top"/>
        <w:rPr>
          <w:rFonts w:ascii="仿宋_GB2312" w:eastAsia="仿宋_GB2312" w:hAnsi="仿宋" w:cs="Arial"/>
          <w:kern w:val="0"/>
          <w:sz w:val="24"/>
          <w:szCs w:val="24"/>
        </w:rPr>
      </w:pPr>
      <w:r>
        <w:rPr>
          <w:rFonts w:ascii="仿宋_GB2312" w:eastAsia="仿宋_GB2312" w:hAnsi="仿宋" w:cs="Arial"/>
          <w:kern w:val="0"/>
          <w:sz w:val="24"/>
          <w:szCs w:val="24"/>
        </w:rPr>
        <w:t>1.</w:t>
      </w:r>
      <w:r>
        <w:rPr>
          <w:rFonts w:ascii="仿宋_GB2312" w:eastAsia="仿宋_GB2312" w:hAnsi="仿宋" w:cs="Arial"/>
          <w:kern w:val="0"/>
          <w:sz w:val="24"/>
          <w:szCs w:val="24"/>
        </w:rPr>
        <w:t>国家级高层次人才包括</w:t>
      </w:r>
      <w:r>
        <w:rPr>
          <w:rFonts w:ascii="仿宋_GB2312" w:eastAsia="仿宋_GB2312" w:hAnsi="仿宋" w:cs="Arial" w:hint="eastAsia"/>
          <w:kern w:val="0"/>
          <w:sz w:val="24"/>
          <w:szCs w:val="24"/>
        </w:rPr>
        <w:t>两院院士</w:t>
      </w:r>
      <w:r>
        <w:rPr>
          <w:rFonts w:ascii="仿宋_GB2312" w:eastAsia="仿宋_GB2312" w:hAnsi="仿宋" w:cs="Arial"/>
          <w:kern w:val="0"/>
          <w:sz w:val="24"/>
          <w:szCs w:val="24"/>
        </w:rPr>
        <w:t>、长江学者特聘教授、国家杰出青年科学基金获得者、</w:t>
      </w:r>
      <w:r>
        <w:rPr>
          <w:rFonts w:ascii="仿宋_GB2312" w:eastAsia="仿宋_GB2312" w:hAnsi="仿宋" w:cs="Arial" w:hint="eastAsia"/>
          <w:kern w:val="0"/>
          <w:sz w:val="24"/>
          <w:szCs w:val="24"/>
        </w:rPr>
        <w:t>百千万</w:t>
      </w:r>
      <w:r>
        <w:rPr>
          <w:rFonts w:ascii="仿宋_GB2312" w:eastAsia="仿宋_GB2312" w:hAnsi="仿宋" w:cs="Arial"/>
          <w:kern w:val="0"/>
          <w:sz w:val="24"/>
          <w:szCs w:val="24"/>
        </w:rPr>
        <w:t>人才工程国家级人选、</w:t>
      </w:r>
      <w:r>
        <w:rPr>
          <w:rFonts w:ascii="仿宋_GB2312" w:eastAsia="仿宋_GB2312" w:hAnsi="仿宋" w:cs="Arial" w:hint="eastAsia"/>
          <w:kern w:val="0"/>
          <w:sz w:val="24"/>
          <w:szCs w:val="24"/>
        </w:rPr>
        <w:t>国家海外特聘专家</w:t>
      </w:r>
      <w:r>
        <w:rPr>
          <w:rFonts w:ascii="仿宋_GB2312" w:eastAsia="仿宋_GB2312" w:hAnsi="仿宋" w:cs="Arial"/>
          <w:kern w:val="0"/>
          <w:sz w:val="24"/>
          <w:szCs w:val="24"/>
        </w:rPr>
        <w:t>、万人计划第二层次入选者</w:t>
      </w:r>
      <w:r>
        <w:rPr>
          <w:rFonts w:ascii="仿宋_GB2312" w:eastAsia="仿宋_GB2312" w:hAnsi="仿宋" w:cs="Arial" w:hint="eastAsia"/>
          <w:kern w:val="0"/>
          <w:sz w:val="24"/>
          <w:szCs w:val="24"/>
        </w:rPr>
        <w:t>；国家级青年人才包括国家四</w:t>
      </w:r>
      <w:proofErr w:type="gramStart"/>
      <w:r>
        <w:rPr>
          <w:rFonts w:ascii="仿宋_GB2312" w:eastAsia="仿宋_GB2312" w:hAnsi="仿宋" w:cs="Arial" w:hint="eastAsia"/>
          <w:kern w:val="0"/>
          <w:sz w:val="24"/>
          <w:szCs w:val="24"/>
        </w:rPr>
        <w:t>青人才</w:t>
      </w:r>
      <w:proofErr w:type="gramEnd"/>
      <w:r>
        <w:rPr>
          <w:rFonts w:ascii="仿宋_GB2312" w:eastAsia="仿宋_GB2312" w:hAnsi="仿宋" w:cs="Arial"/>
          <w:kern w:val="0"/>
          <w:sz w:val="24"/>
          <w:szCs w:val="24"/>
        </w:rPr>
        <w:t>等。</w:t>
      </w:r>
    </w:p>
    <w:p w:rsidR="007D4005" w:rsidRDefault="006C7455" w:rsidP="006C7455">
      <w:pPr>
        <w:spacing w:line="360" w:lineRule="exact"/>
        <w:ind w:firstLineChars="200" w:firstLine="480"/>
      </w:pPr>
      <w:r>
        <w:rPr>
          <w:rFonts w:ascii="仿宋_GB2312" w:eastAsia="仿宋_GB2312" w:hAnsi="仿宋" w:cs="Arial" w:hint="eastAsia"/>
          <w:kern w:val="0"/>
          <w:sz w:val="24"/>
          <w:szCs w:val="24"/>
        </w:rPr>
        <w:t>2</w:t>
      </w:r>
      <w:r>
        <w:rPr>
          <w:rFonts w:ascii="仿宋_GB2312" w:eastAsia="仿宋_GB2312" w:hAnsi="仿宋" w:cs="Arial"/>
          <w:kern w:val="0"/>
          <w:sz w:val="24"/>
          <w:szCs w:val="24"/>
        </w:rPr>
        <w:t>.</w:t>
      </w:r>
      <w:r>
        <w:rPr>
          <w:rFonts w:ascii="仿宋_GB2312" w:eastAsia="仿宋_GB2312" w:hAnsi="仿宋" w:cs="Arial"/>
          <w:kern w:val="0"/>
          <w:sz w:val="24"/>
          <w:szCs w:val="24"/>
        </w:rPr>
        <w:t>国家级重大科研项目包括国家自然科学基金重大类项目（含部委推荐类重大仪器专项）、国家自然科学基金创新群体项目、国家科技重大专项课题、国家重点研发计划项目、国防重大任务及重大工程项目等具有重要影响力的国家级纵向科研项目，其他单项项目（课题）立项经费</w:t>
      </w:r>
      <w:r>
        <w:rPr>
          <w:rFonts w:ascii="仿宋_GB2312" w:eastAsia="仿宋_GB2312" w:hAnsi="仿宋" w:cs="Arial"/>
          <w:kern w:val="0"/>
          <w:sz w:val="24"/>
          <w:szCs w:val="24"/>
        </w:rPr>
        <w:t>1000</w:t>
      </w:r>
      <w:r>
        <w:rPr>
          <w:rFonts w:ascii="仿宋_GB2312" w:eastAsia="仿宋_GB2312" w:hAnsi="仿宋" w:cs="Arial"/>
          <w:kern w:val="0"/>
          <w:sz w:val="24"/>
          <w:szCs w:val="24"/>
        </w:rPr>
        <w:t>万元以上的科研项目（横向按到账经费）。人文社科类包括国家社会科学基金重大项目、教育部哲学社会科学研究重大课题攻关项目、百万级项目等。国家级重点科研项目包括国家自然科学基金重点类项目、国家重点研发计划课题、国家科技重大专</w:t>
      </w:r>
      <w:r>
        <w:rPr>
          <w:rFonts w:ascii="仿宋_GB2312" w:eastAsia="仿宋_GB2312" w:hAnsi="仿宋" w:cs="Arial"/>
          <w:kern w:val="0"/>
          <w:sz w:val="24"/>
          <w:szCs w:val="24"/>
        </w:rPr>
        <w:t>项课题、国防重点任务及重点工程项目等重要影响力的国家级纵向科研项目，其他单项项目（课题）立项经费</w:t>
      </w:r>
      <w:r>
        <w:rPr>
          <w:rFonts w:ascii="仿宋_GB2312" w:eastAsia="仿宋_GB2312" w:hAnsi="仿宋" w:cs="Arial"/>
          <w:kern w:val="0"/>
          <w:sz w:val="24"/>
          <w:szCs w:val="24"/>
        </w:rPr>
        <w:t>500</w:t>
      </w:r>
      <w:r>
        <w:rPr>
          <w:rFonts w:ascii="仿宋_GB2312" w:eastAsia="仿宋_GB2312" w:hAnsi="仿宋" w:cs="Arial"/>
          <w:kern w:val="0"/>
          <w:sz w:val="24"/>
          <w:szCs w:val="24"/>
        </w:rPr>
        <w:t>万元以上的科研项目（横向按到账经费）。</w:t>
      </w:r>
      <w:bookmarkStart w:id="0" w:name="_GoBack"/>
      <w:bookmarkEnd w:id="0"/>
    </w:p>
    <w:sectPr w:rsidR="007D4005" w:rsidSect="006C7455">
      <w:pgSz w:w="11906" w:h="16838"/>
      <w:pgMar w:top="2041" w:right="1531" w:bottom="204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05"/>
    <w:rsid w:val="006C7455"/>
    <w:rsid w:val="007D4005"/>
    <w:rsid w:val="1753144E"/>
    <w:rsid w:val="22803936"/>
    <w:rsid w:val="25F86954"/>
    <w:rsid w:val="2A704BCB"/>
    <w:rsid w:val="2E613CB9"/>
    <w:rsid w:val="3B7D262A"/>
    <w:rsid w:val="3C8E7970"/>
    <w:rsid w:val="4C401724"/>
    <w:rsid w:val="5C4063B7"/>
    <w:rsid w:val="5C4B5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wxn</dc:creator>
  <cp:lastModifiedBy>孙建华</cp:lastModifiedBy>
  <cp:revision>2</cp:revision>
  <dcterms:created xsi:type="dcterms:W3CDTF">2020-05-14T10:54:00Z</dcterms:created>
  <dcterms:modified xsi:type="dcterms:W3CDTF">2020-05-28T07:54:00Z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