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D66" w:rsidRDefault="00D14D8D">
      <w:pPr>
        <w:spacing w:line="360" w:lineRule="auto"/>
        <w:jc w:val="left"/>
        <w:rPr>
          <w:rFonts w:ascii="华文仿宋" w:eastAsia="华文仿宋" w:hAnsi="华文仿宋" w:cs="华文仿宋"/>
          <w:b/>
          <w:sz w:val="32"/>
        </w:rPr>
      </w:pPr>
      <w:bookmarkStart w:id="0" w:name="_GoBack"/>
      <w:bookmarkEnd w:id="0"/>
      <w:r>
        <w:rPr>
          <w:rFonts w:ascii="华文仿宋" w:eastAsia="华文仿宋" w:hAnsi="华文仿宋" w:cs="华文仿宋" w:hint="eastAsia"/>
          <w:b/>
          <w:sz w:val="32"/>
        </w:rPr>
        <w:t>附件</w:t>
      </w:r>
      <w:r w:rsidR="00744995">
        <w:rPr>
          <w:rFonts w:ascii="华文仿宋" w:eastAsia="华文仿宋" w:hAnsi="华文仿宋" w:cs="华文仿宋" w:hint="eastAsia"/>
          <w:b/>
          <w:sz w:val="32"/>
        </w:rPr>
        <w:t xml:space="preserve"> 1</w:t>
      </w:r>
    </w:p>
    <w:p w:rsidR="006D7D66" w:rsidRDefault="00D14D8D">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《高等学校实验室安全检查项目表》</w:t>
      </w:r>
    </w:p>
    <w:p w:rsidR="006D7D66" w:rsidRDefault="00D14D8D">
      <w:pPr>
        <w:spacing w:line="360" w:lineRule="auto"/>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条款分级及检查结果分级方案</w:t>
      </w:r>
    </w:p>
    <w:p w:rsidR="006D7D66" w:rsidRDefault="00D14D8D" w:rsidP="00744995">
      <w:pPr>
        <w:spacing w:beforeLines="50" w:line="500" w:lineRule="exact"/>
        <w:ind w:firstLineChars="200" w:firstLine="560"/>
        <w:rPr>
          <w:rFonts w:ascii="仿宋" w:eastAsia="仿宋" w:hAnsi="仿宋"/>
          <w:sz w:val="28"/>
          <w:szCs w:val="24"/>
        </w:rPr>
      </w:pPr>
      <w:r>
        <w:rPr>
          <w:rFonts w:ascii="仿宋" w:eastAsia="仿宋" w:hAnsi="仿宋" w:hint="eastAsia"/>
          <w:sz w:val="28"/>
          <w:szCs w:val="24"/>
        </w:rPr>
        <w:t>为了提升</w:t>
      </w:r>
      <w:r>
        <w:rPr>
          <w:rFonts w:ascii="仿宋" w:eastAsia="仿宋" w:hAnsi="仿宋"/>
          <w:sz w:val="28"/>
          <w:szCs w:val="24"/>
        </w:rPr>
        <w:t>实验室安全检查的严肃性</w:t>
      </w:r>
      <w:r>
        <w:rPr>
          <w:rFonts w:ascii="仿宋" w:eastAsia="仿宋" w:hAnsi="仿宋" w:hint="eastAsia"/>
          <w:sz w:val="28"/>
          <w:szCs w:val="24"/>
        </w:rPr>
        <w:t>和</w:t>
      </w:r>
      <w:r>
        <w:rPr>
          <w:rFonts w:ascii="仿宋" w:eastAsia="仿宋" w:hAnsi="仿宋"/>
          <w:sz w:val="28"/>
          <w:szCs w:val="24"/>
        </w:rPr>
        <w:t>有效性</w:t>
      </w:r>
      <w:r>
        <w:rPr>
          <w:rFonts w:ascii="仿宋" w:eastAsia="仿宋" w:hAnsi="仿宋" w:hint="eastAsia"/>
          <w:sz w:val="28"/>
          <w:szCs w:val="24"/>
        </w:rPr>
        <w:t>，扎扎实实</w:t>
      </w:r>
      <w:r>
        <w:rPr>
          <w:rFonts w:ascii="仿宋" w:eastAsia="仿宋" w:hAnsi="仿宋"/>
          <w:sz w:val="28"/>
          <w:szCs w:val="24"/>
        </w:rPr>
        <w:t>推进高校</w:t>
      </w:r>
      <w:r>
        <w:rPr>
          <w:rFonts w:ascii="仿宋" w:eastAsia="仿宋" w:hAnsi="仿宋" w:hint="eastAsia"/>
          <w:sz w:val="28"/>
          <w:szCs w:val="24"/>
        </w:rPr>
        <w:t>实验室</w:t>
      </w:r>
      <w:r>
        <w:rPr>
          <w:rFonts w:ascii="仿宋" w:eastAsia="仿宋" w:hAnsi="仿宋"/>
          <w:sz w:val="28"/>
          <w:szCs w:val="24"/>
        </w:rPr>
        <w:t>安全</w:t>
      </w:r>
      <w:r>
        <w:rPr>
          <w:rFonts w:ascii="仿宋" w:eastAsia="仿宋" w:hAnsi="仿宋" w:hint="eastAsia"/>
          <w:sz w:val="28"/>
          <w:szCs w:val="24"/>
        </w:rPr>
        <w:t>管理</w:t>
      </w:r>
      <w:r>
        <w:rPr>
          <w:rFonts w:ascii="仿宋" w:eastAsia="仿宋" w:hAnsi="仿宋"/>
          <w:sz w:val="28"/>
          <w:szCs w:val="24"/>
        </w:rPr>
        <w:t>和预防工作</w:t>
      </w:r>
      <w:r>
        <w:rPr>
          <w:rFonts w:ascii="仿宋" w:eastAsia="仿宋" w:hAnsi="仿宋" w:hint="eastAsia"/>
          <w:sz w:val="28"/>
          <w:szCs w:val="24"/>
        </w:rPr>
        <w:t>，对检查条款和</w:t>
      </w:r>
      <w:r>
        <w:rPr>
          <w:rFonts w:ascii="仿宋" w:eastAsia="仿宋" w:hAnsi="仿宋"/>
          <w:sz w:val="28"/>
          <w:szCs w:val="24"/>
        </w:rPr>
        <w:t>检查结果</w:t>
      </w:r>
      <w:r>
        <w:rPr>
          <w:rFonts w:ascii="仿宋" w:eastAsia="仿宋" w:hAnsi="仿宋" w:hint="eastAsia"/>
          <w:sz w:val="28"/>
          <w:szCs w:val="24"/>
        </w:rPr>
        <w:t>进行了分级</w:t>
      </w:r>
      <w:r>
        <w:rPr>
          <w:rFonts w:ascii="仿宋" w:eastAsia="仿宋" w:hAnsi="仿宋"/>
          <w:sz w:val="28"/>
          <w:szCs w:val="24"/>
        </w:rPr>
        <w:t>。</w:t>
      </w:r>
    </w:p>
    <w:p w:rsidR="006D7D66" w:rsidRDefault="00D14D8D" w:rsidP="00744995">
      <w:pPr>
        <w:spacing w:beforeLines="50" w:line="500" w:lineRule="exact"/>
        <w:ind w:firstLineChars="200" w:firstLine="602"/>
        <w:jc w:val="left"/>
        <w:rPr>
          <w:rFonts w:ascii="仿宋" w:eastAsia="仿宋" w:hAnsi="仿宋"/>
          <w:b/>
          <w:sz w:val="30"/>
          <w:szCs w:val="30"/>
        </w:rPr>
      </w:pPr>
      <w:r>
        <w:rPr>
          <w:rFonts w:ascii="仿宋" w:eastAsia="仿宋" w:hAnsi="仿宋" w:hint="eastAsia"/>
          <w:b/>
          <w:sz w:val="30"/>
          <w:szCs w:val="30"/>
        </w:rPr>
        <w:t>1.安全</w:t>
      </w:r>
      <w:r>
        <w:rPr>
          <w:rFonts w:ascii="仿宋" w:eastAsia="仿宋" w:hAnsi="仿宋"/>
          <w:b/>
          <w:sz w:val="30"/>
          <w:szCs w:val="30"/>
        </w:rPr>
        <w:t>检查</w:t>
      </w:r>
      <w:r>
        <w:rPr>
          <w:rFonts w:ascii="仿宋" w:eastAsia="仿宋" w:hAnsi="仿宋" w:hint="eastAsia"/>
          <w:b/>
          <w:sz w:val="30"/>
          <w:szCs w:val="30"/>
        </w:rPr>
        <w:t>条款分级</w:t>
      </w:r>
    </w:p>
    <w:p w:rsidR="006D7D66" w:rsidRDefault="00D14D8D">
      <w:pPr>
        <w:spacing w:line="500" w:lineRule="exact"/>
        <w:ind w:firstLineChars="200" w:firstLine="560"/>
        <w:jc w:val="left"/>
        <w:rPr>
          <w:rFonts w:ascii="仿宋" w:eastAsia="仿宋" w:hAnsi="仿宋"/>
          <w:sz w:val="28"/>
          <w:szCs w:val="24"/>
        </w:rPr>
      </w:pPr>
      <w:r>
        <w:rPr>
          <w:rFonts w:ascii="仿宋" w:eastAsia="仿宋" w:hAnsi="仿宋" w:hint="eastAsia"/>
          <w:sz w:val="28"/>
          <w:szCs w:val="24"/>
        </w:rPr>
        <w:t>根据《2018高等学校实验室安全检查项目表》35</w:t>
      </w:r>
      <w:r>
        <w:rPr>
          <w:rFonts w:ascii="仿宋" w:eastAsia="仿宋" w:hAnsi="仿宋"/>
          <w:sz w:val="28"/>
          <w:szCs w:val="24"/>
        </w:rPr>
        <w:t>8</w:t>
      </w:r>
      <w:r>
        <w:rPr>
          <w:rFonts w:ascii="仿宋" w:eastAsia="仿宋" w:hAnsi="仿宋" w:hint="eastAsia"/>
          <w:sz w:val="28"/>
          <w:szCs w:val="24"/>
        </w:rPr>
        <w:t>条款</w:t>
      </w:r>
      <w:r>
        <w:rPr>
          <w:rFonts w:ascii="仿宋" w:eastAsia="仿宋" w:hAnsi="仿宋"/>
          <w:sz w:val="28"/>
          <w:szCs w:val="24"/>
        </w:rPr>
        <w:t>，</w:t>
      </w:r>
      <w:r>
        <w:rPr>
          <w:rFonts w:ascii="仿宋" w:eastAsia="仿宋" w:hAnsi="仿宋" w:hint="eastAsia"/>
          <w:sz w:val="28"/>
          <w:szCs w:val="24"/>
        </w:rPr>
        <w:t>按照重要性、导向</w:t>
      </w:r>
      <w:r>
        <w:rPr>
          <w:rFonts w:ascii="仿宋" w:eastAsia="仿宋" w:hAnsi="仿宋"/>
          <w:sz w:val="28"/>
          <w:szCs w:val="24"/>
        </w:rPr>
        <w:t>性</w:t>
      </w:r>
      <w:r>
        <w:rPr>
          <w:rFonts w:ascii="仿宋" w:eastAsia="仿宋" w:hAnsi="仿宋" w:hint="eastAsia"/>
          <w:sz w:val="28"/>
          <w:szCs w:val="24"/>
        </w:rPr>
        <w:t>情况进行星级划分，其中</w:t>
      </w:r>
      <w:r>
        <w:rPr>
          <w:rFonts w:ascii="仿宋" w:eastAsia="仿宋" w:hAnsi="仿宋"/>
          <w:sz w:val="28"/>
          <w:szCs w:val="24"/>
        </w:rPr>
        <w:t>三星</w:t>
      </w:r>
      <w:r>
        <w:rPr>
          <w:rFonts w:ascii="仿宋" w:eastAsia="仿宋" w:hAnsi="仿宋" w:hint="eastAsia"/>
          <w:sz w:val="28"/>
          <w:szCs w:val="24"/>
        </w:rPr>
        <w:t>“***”5个，表示</w:t>
      </w:r>
      <w:r>
        <w:rPr>
          <w:rFonts w:ascii="仿宋" w:eastAsia="仿宋" w:hAnsi="仿宋"/>
          <w:sz w:val="28"/>
          <w:szCs w:val="24"/>
        </w:rPr>
        <w:t>非常重</w:t>
      </w:r>
      <w:r>
        <w:rPr>
          <w:rFonts w:ascii="仿宋" w:eastAsia="仿宋" w:hAnsi="仿宋" w:hint="eastAsia"/>
          <w:sz w:val="28"/>
          <w:szCs w:val="24"/>
        </w:rPr>
        <w:t>要</w:t>
      </w:r>
      <w:r>
        <w:rPr>
          <w:rFonts w:ascii="仿宋" w:eastAsia="仿宋" w:hAnsi="仿宋"/>
          <w:sz w:val="28"/>
          <w:szCs w:val="24"/>
        </w:rPr>
        <w:t>，</w:t>
      </w:r>
      <w:r>
        <w:rPr>
          <w:rFonts w:ascii="仿宋" w:eastAsia="仿宋" w:hAnsi="仿宋" w:hint="eastAsia"/>
          <w:sz w:val="28"/>
          <w:szCs w:val="24"/>
        </w:rPr>
        <w:t>属于</w:t>
      </w:r>
      <w:r>
        <w:rPr>
          <w:rFonts w:ascii="仿宋" w:eastAsia="仿宋" w:hAnsi="仿宋"/>
          <w:sz w:val="28"/>
          <w:szCs w:val="24"/>
        </w:rPr>
        <w:t>底线，必须符合</w:t>
      </w:r>
      <w:r>
        <w:rPr>
          <w:rFonts w:ascii="仿宋" w:eastAsia="仿宋" w:hAnsi="仿宋" w:hint="eastAsia"/>
          <w:sz w:val="28"/>
          <w:szCs w:val="24"/>
        </w:rPr>
        <w:t>；二星“**”25个，属于</w:t>
      </w:r>
      <w:r>
        <w:rPr>
          <w:rFonts w:ascii="仿宋" w:eastAsia="仿宋" w:hAnsi="仿宋"/>
          <w:sz w:val="28"/>
          <w:szCs w:val="24"/>
        </w:rPr>
        <w:t>很重要的条款，</w:t>
      </w:r>
      <w:r>
        <w:rPr>
          <w:rFonts w:ascii="仿宋" w:eastAsia="仿宋" w:hAnsi="仿宋" w:hint="eastAsia"/>
          <w:sz w:val="28"/>
          <w:szCs w:val="24"/>
        </w:rPr>
        <w:t>有严肃</w:t>
      </w:r>
      <w:r>
        <w:rPr>
          <w:rFonts w:ascii="仿宋" w:eastAsia="仿宋" w:hAnsi="仿宋"/>
          <w:sz w:val="28"/>
          <w:szCs w:val="24"/>
        </w:rPr>
        <w:t>性和导向性；</w:t>
      </w:r>
      <w:r>
        <w:rPr>
          <w:rFonts w:ascii="仿宋" w:eastAsia="仿宋" w:hAnsi="仿宋" w:hint="eastAsia"/>
          <w:sz w:val="28"/>
          <w:szCs w:val="24"/>
        </w:rPr>
        <w:t>一星“*”78个，属于</w:t>
      </w:r>
      <w:r>
        <w:rPr>
          <w:rFonts w:ascii="仿宋" w:eastAsia="仿宋" w:hAnsi="仿宋"/>
          <w:sz w:val="28"/>
          <w:szCs w:val="24"/>
        </w:rPr>
        <w:t>比较重要</w:t>
      </w:r>
      <w:r>
        <w:rPr>
          <w:rFonts w:ascii="仿宋" w:eastAsia="仿宋" w:hAnsi="仿宋" w:hint="eastAsia"/>
          <w:sz w:val="28"/>
          <w:szCs w:val="24"/>
        </w:rPr>
        <w:t>的条款（见表1）</w:t>
      </w:r>
      <w:r>
        <w:rPr>
          <w:rFonts w:ascii="仿宋" w:eastAsia="仿宋" w:hAnsi="仿宋"/>
          <w:sz w:val="28"/>
          <w:szCs w:val="24"/>
        </w:rPr>
        <w:t>。</w:t>
      </w:r>
    </w:p>
    <w:p w:rsidR="006D7D66" w:rsidRDefault="00D14D8D">
      <w:pPr>
        <w:spacing w:line="500" w:lineRule="exact"/>
        <w:ind w:firstLineChars="200" w:firstLine="560"/>
        <w:jc w:val="left"/>
        <w:rPr>
          <w:rFonts w:ascii="仿宋" w:eastAsia="仿宋" w:hAnsi="仿宋"/>
          <w:b/>
          <w:sz w:val="30"/>
          <w:szCs w:val="30"/>
        </w:rPr>
      </w:pPr>
      <w:r>
        <w:rPr>
          <w:rFonts w:ascii="仿宋" w:eastAsia="仿宋" w:hAnsi="仿宋" w:hint="eastAsia"/>
          <w:sz w:val="28"/>
          <w:szCs w:val="24"/>
        </w:rPr>
        <w:t>没有</w:t>
      </w:r>
      <w:r>
        <w:rPr>
          <w:rFonts w:ascii="仿宋" w:eastAsia="仿宋" w:hAnsi="仿宋"/>
          <w:sz w:val="28"/>
          <w:szCs w:val="24"/>
        </w:rPr>
        <w:t>星号的条款</w:t>
      </w:r>
      <w:r>
        <w:rPr>
          <w:rFonts w:ascii="仿宋" w:eastAsia="仿宋" w:hAnsi="仿宋" w:hint="eastAsia"/>
          <w:sz w:val="28"/>
          <w:szCs w:val="24"/>
        </w:rPr>
        <w:t>，</w:t>
      </w:r>
      <w:r>
        <w:rPr>
          <w:rFonts w:ascii="仿宋" w:eastAsia="仿宋" w:hAnsi="仿宋"/>
          <w:sz w:val="28"/>
          <w:szCs w:val="24"/>
        </w:rPr>
        <w:t>依然是高校实验室</w:t>
      </w:r>
      <w:r>
        <w:rPr>
          <w:rFonts w:ascii="仿宋" w:eastAsia="仿宋" w:hAnsi="仿宋" w:hint="eastAsia"/>
          <w:sz w:val="28"/>
          <w:szCs w:val="24"/>
        </w:rPr>
        <w:t>需</w:t>
      </w:r>
      <w:r>
        <w:rPr>
          <w:rFonts w:ascii="仿宋" w:eastAsia="仿宋" w:hAnsi="仿宋"/>
          <w:sz w:val="28"/>
          <w:szCs w:val="24"/>
        </w:rPr>
        <w:t>做好的方方面面</w:t>
      </w:r>
      <w:r>
        <w:rPr>
          <w:rFonts w:ascii="仿宋" w:eastAsia="仿宋" w:hAnsi="仿宋" w:hint="eastAsia"/>
          <w:sz w:val="28"/>
          <w:szCs w:val="24"/>
        </w:rPr>
        <w:t>，现场</w:t>
      </w:r>
      <w:r>
        <w:rPr>
          <w:rFonts w:ascii="仿宋" w:eastAsia="仿宋" w:hAnsi="仿宋"/>
          <w:sz w:val="28"/>
          <w:szCs w:val="24"/>
        </w:rPr>
        <w:t>检查时也会抽查，不可忽视。</w:t>
      </w:r>
    </w:p>
    <w:p w:rsidR="006D7D66" w:rsidRDefault="00D14D8D" w:rsidP="00744995">
      <w:pPr>
        <w:spacing w:beforeLines="50" w:line="500" w:lineRule="exact"/>
        <w:ind w:firstLineChars="200" w:firstLine="602"/>
        <w:rPr>
          <w:rFonts w:ascii="仿宋" w:eastAsia="仿宋" w:hAnsi="仿宋"/>
          <w:b/>
          <w:sz w:val="30"/>
          <w:szCs w:val="30"/>
        </w:rPr>
      </w:pPr>
      <w:r>
        <w:rPr>
          <w:rFonts w:ascii="仿宋" w:eastAsia="仿宋" w:hAnsi="仿宋" w:hint="eastAsia"/>
          <w:b/>
          <w:sz w:val="30"/>
          <w:szCs w:val="30"/>
        </w:rPr>
        <w:t>2</w:t>
      </w:r>
      <w:r>
        <w:rPr>
          <w:rFonts w:ascii="仿宋" w:eastAsia="仿宋" w:hAnsi="仿宋"/>
          <w:b/>
          <w:sz w:val="30"/>
          <w:szCs w:val="30"/>
        </w:rPr>
        <w:t>.</w:t>
      </w:r>
      <w:r>
        <w:rPr>
          <w:rFonts w:ascii="仿宋" w:eastAsia="仿宋" w:hAnsi="仿宋" w:hint="eastAsia"/>
          <w:b/>
          <w:sz w:val="30"/>
          <w:szCs w:val="30"/>
        </w:rPr>
        <w:t>检查</w:t>
      </w:r>
      <w:r>
        <w:rPr>
          <w:rFonts w:ascii="仿宋" w:eastAsia="仿宋" w:hAnsi="仿宋"/>
          <w:b/>
          <w:sz w:val="30"/>
          <w:szCs w:val="30"/>
        </w:rPr>
        <w:t>结果分</w:t>
      </w:r>
      <w:r>
        <w:rPr>
          <w:rFonts w:ascii="仿宋" w:eastAsia="仿宋" w:hAnsi="仿宋" w:hint="eastAsia"/>
          <w:b/>
          <w:sz w:val="30"/>
          <w:szCs w:val="30"/>
        </w:rPr>
        <w:t>级</w:t>
      </w:r>
    </w:p>
    <w:p w:rsidR="006D7D66" w:rsidRDefault="00D14D8D">
      <w:pPr>
        <w:spacing w:line="500" w:lineRule="exact"/>
        <w:ind w:firstLineChars="200" w:firstLine="560"/>
        <w:rPr>
          <w:rFonts w:ascii="仿宋" w:eastAsia="仿宋" w:hAnsi="仿宋"/>
          <w:sz w:val="28"/>
          <w:szCs w:val="24"/>
        </w:rPr>
      </w:pPr>
      <w:r>
        <w:rPr>
          <w:rFonts w:ascii="仿宋" w:eastAsia="仿宋" w:hAnsi="仿宋" w:hint="eastAsia"/>
          <w:sz w:val="28"/>
          <w:szCs w:val="24"/>
        </w:rPr>
        <w:t>根据</w:t>
      </w:r>
      <w:r>
        <w:rPr>
          <w:rFonts w:ascii="仿宋" w:eastAsia="仿宋" w:hAnsi="仿宋"/>
          <w:sz w:val="28"/>
          <w:szCs w:val="24"/>
        </w:rPr>
        <w:t>专家组现场</w:t>
      </w:r>
      <w:r>
        <w:rPr>
          <w:rFonts w:ascii="仿宋" w:eastAsia="仿宋" w:hAnsi="仿宋" w:hint="eastAsia"/>
          <w:sz w:val="28"/>
          <w:szCs w:val="24"/>
        </w:rPr>
        <w:t>检查，</w:t>
      </w:r>
      <w:r>
        <w:rPr>
          <w:rFonts w:ascii="仿宋" w:eastAsia="仿宋" w:hAnsi="仿宋"/>
          <w:sz w:val="28"/>
          <w:szCs w:val="24"/>
        </w:rPr>
        <w:t>将</w:t>
      </w:r>
      <w:r>
        <w:rPr>
          <w:rFonts w:ascii="仿宋" w:eastAsia="仿宋" w:hAnsi="仿宋" w:hint="eastAsia"/>
          <w:sz w:val="28"/>
          <w:szCs w:val="24"/>
        </w:rPr>
        <w:t>结果分为四级，</w:t>
      </w:r>
      <w:r>
        <w:rPr>
          <w:rFonts w:ascii="仿宋" w:eastAsia="仿宋" w:hAnsi="仿宋"/>
          <w:sz w:val="28"/>
          <w:szCs w:val="24"/>
        </w:rPr>
        <w:t>即</w:t>
      </w:r>
      <w:r>
        <w:rPr>
          <w:rFonts w:ascii="仿宋" w:eastAsia="仿宋" w:hAnsi="仿宋" w:hint="eastAsia"/>
          <w:sz w:val="28"/>
          <w:szCs w:val="24"/>
        </w:rPr>
        <w:t>：</w:t>
      </w:r>
    </w:p>
    <w:p w:rsidR="006D7D66" w:rsidRDefault="00D14D8D">
      <w:pPr>
        <w:spacing w:line="500" w:lineRule="exact"/>
        <w:ind w:firstLineChars="200" w:firstLine="560"/>
        <w:rPr>
          <w:rFonts w:ascii="仿宋" w:eastAsia="仿宋" w:hAnsi="仿宋"/>
          <w:sz w:val="28"/>
          <w:szCs w:val="24"/>
        </w:rPr>
      </w:pPr>
      <w:r>
        <w:rPr>
          <w:rFonts w:ascii="仿宋" w:eastAsia="仿宋" w:hAnsi="仿宋" w:hint="eastAsia"/>
          <w:sz w:val="28"/>
          <w:szCs w:val="24"/>
        </w:rPr>
        <w:t>A级</w:t>
      </w:r>
      <w:r>
        <w:rPr>
          <w:rFonts w:ascii="仿宋" w:eastAsia="仿宋" w:hAnsi="仿宋"/>
          <w:sz w:val="28"/>
          <w:szCs w:val="24"/>
        </w:rPr>
        <w:t>：</w:t>
      </w:r>
      <w:r>
        <w:rPr>
          <w:rFonts w:ascii="仿宋" w:eastAsia="仿宋" w:hAnsi="仿宋" w:hint="eastAsia"/>
          <w:sz w:val="28"/>
          <w:szCs w:val="24"/>
        </w:rPr>
        <w:t>通过；</w:t>
      </w:r>
    </w:p>
    <w:p w:rsidR="006D7D66" w:rsidRDefault="00D14D8D">
      <w:pPr>
        <w:spacing w:line="500" w:lineRule="exact"/>
        <w:ind w:firstLineChars="200" w:firstLine="560"/>
        <w:rPr>
          <w:rFonts w:ascii="仿宋" w:eastAsia="仿宋" w:hAnsi="仿宋"/>
          <w:sz w:val="28"/>
          <w:szCs w:val="24"/>
        </w:rPr>
      </w:pPr>
      <w:r>
        <w:rPr>
          <w:rFonts w:ascii="仿宋" w:eastAsia="仿宋" w:hAnsi="仿宋" w:hint="eastAsia"/>
          <w:sz w:val="28"/>
          <w:szCs w:val="24"/>
        </w:rPr>
        <w:t>B级</w:t>
      </w:r>
      <w:r>
        <w:rPr>
          <w:rFonts w:ascii="仿宋" w:eastAsia="仿宋" w:hAnsi="仿宋"/>
          <w:sz w:val="28"/>
          <w:szCs w:val="24"/>
        </w:rPr>
        <w:t>：</w:t>
      </w:r>
      <w:r>
        <w:rPr>
          <w:rFonts w:ascii="仿宋" w:eastAsia="仿宋" w:hAnsi="仿宋" w:hint="eastAsia"/>
          <w:sz w:val="28"/>
          <w:szCs w:val="24"/>
        </w:rPr>
        <w:t>整改后通过；</w:t>
      </w:r>
    </w:p>
    <w:p w:rsidR="006D7D66" w:rsidRDefault="00D14D8D">
      <w:pPr>
        <w:spacing w:line="500" w:lineRule="exact"/>
        <w:ind w:firstLineChars="200" w:firstLine="560"/>
        <w:rPr>
          <w:rFonts w:ascii="仿宋" w:eastAsia="仿宋" w:hAnsi="仿宋"/>
          <w:sz w:val="28"/>
          <w:szCs w:val="24"/>
        </w:rPr>
      </w:pPr>
      <w:r>
        <w:rPr>
          <w:rFonts w:ascii="仿宋" w:eastAsia="仿宋" w:hAnsi="仿宋" w:hint="eastAsia"/>
          <w:sz w:val="28"/>
          <w:szCs w:val="24"/>
        </w:rPr>
        <w:t>C级</w:t>
      </w:r>
      <w:r>
        <w:rPr>
          <w:rFonts w:ascii="仿宋" w:eastAsia="仿宋" w:hAnsi="仿宋"/>
          <w:sz w:val="28"/>
          <w:szCs w:val="24"/>
        </w:rPr>
        <w:t>：</w:t>
      </w:r>
      <w:r>
        <w:rPr>
          <w:rFonts w:ascii="仿宋" w:eastAsia="仿宋" w:hAnsi="仿宋" w:hint="eastAsia"/>
          <w:sz w:val="28"/>
          <w:szCs w:val="24"/>
        </w:rPr>
        <w:t>整改，</w:t>
      </w:r>
      <w:r>
        <w:rPr>
          <w:rFonts w:ascii="仿宋" w:eastAsia="仿宋" w:hAnsi="仿宋"/>
          <w:sz w:val="28"/>
          <w:szCs w:val="24"/>
        </w:rPr>
        <w:t>经</w:t>
      </w:r>
      <w:r>
        <w:rPr>
          <w:rFonts w:ascii="仿宋" w:eastAsia="仿宋" w:hAnsi="仿宋" w:hint="eastAsia"/>
          <w:sz w:val="28"/>
          <w:szCs w:val="24"/>
        </w:rPr>
        <w:t>现场复查合格后通过；</w:t>
      </w:r>
    </w:p>
    <w:p w:rsidR="006D7D66" w:rsidRDefault="00D14D8D">
      <w:pPr>
        <w:spacing w:line="500" w:lineRule="exact"/>
        <w:ind w:firstLineChars="200" w:firstLine="560"/>
        <w:rPr>
          <w:rFonts w:ascii="仿宋" w:eastAsia="仿宋" w:hAnsi="仿宋"/>
          <w:sz w:val="24"/>
          <w:szCs w:val="24"/>
        </w:rPr>
      </w:pPr>
      <w:r>
        <w:rPr>
          <w:rFonts w:ascii="仿宋" w:eastAsia="仿宋" w:hAnsi="仿宋" w:hint="eastAsia"/>
          <w:sz w:val="28"/>
          <w:szCs w:val="24"/>
        </w:rPr>
        <w:t>D级</w:t>
      </w:r>
      <w:r>
        <w:rPr>
          <w:rFonts w:ascii="仿宋" w:eastAsia="仿宋" w:hAnsi="仿宋"/>
          <w:sz w:val="28"/>
          <w:szCs w:val="24"/>
        </w:rPr>
        <w:t>：</w:t>
      </w:r>
      <w:r>
        <w:rPr>
          <w:rFonts w:ascii="仿宋" w:eastAsia="仿宋" w:hAnsi="仿宋" w:hint="eastAsia"/>
          <w:sz w:val="28"/>
          <w:szCs w:val="24"/>
        </w:rPr>
        <w:t>不通过。</w:t>
      </w:r>
    </w:p>
    <w:p w:rsidR="006D7D66" w:rsidRDefault="00D14D8D" w:rsidP="00744995">
      <w:pPr>
        <w:spacing w:beforeLines="50" w:line="500" w:lineRule="exact"/>
        <w:ind w:firstLineChars="200" w:firstLine="602"/>
        <w:jc w:val="left"/>
        <w:rPr>
          <w:rFonts w:ascii="仿宋" w:eastAsia="仿宋" w:hAnsi="仿宋"/>
          <w:b/>
          <w:sz w:val="30"/>
          <w:szCs w:val="30"/>
        </w:rPr>
      </w:pPr>
      <w:r>
        <w:rPr>
          <w:rFonts w:ascii="仿宋" w:eastAsia="仿宋" w:hAnsi="仿宋"/>
          <w:b/>
          <w:sz w:val="30"/>
          <w:szCs w:val="30"/>
        </w:rPr>
        <w:t>3</w:t>
      </w:r>
      <w:r>
        <w:rPr>
          <w:rFonts w:ascii="仿宋" w:eastAsia="仿宋" w:hAnsi="仿宋" w:hint="eastAsia"/>
          <w:b/>
          <w:sz w:val="30"/>
          <w:szCs w:val="30"/>
        </w:rPr>
        <w:t>.检查结果的</w:t>
      </w:r>
      <w:r>
        <w:rPr>
          <w:rFonts w:ascii="仿宋" w:eastAsia="仿宋" w:hAnsi="仿宋"/>
          <w:b/>
          <w:sz w:val="30"/>
          <w:szCs w:val="30"/>
        </w:rPr>
        <w:t>分</w:t>
      </w:r>
      <w:r>
        <w:rPr>
          <w:rFonts w:ascii="仿宋" w:eastAsia="仿宋" w:hAnsi="仿宋" w:hint="eastAsia"/>
          <w:b/>
          <w:sz w:val="30"/>
          <w:szCs w:val="30"/>
        </w:rPr>
        <w:t>级</w:t>
      </w:r>
      <w:r>
        <w:rPr>
          <w:rFonts w:ascii="仿宋" w:eastAsia="仿宋" w:hAnsi="仿宋"/>
          <w:b/>
          <w:sz w:val="30"/>
          <w:szCs w:val="30"/>
        </w:rPr>
        <w:t>判别</w:t>
      </w:r>
    </w:p>
    <w:p w:rsidR="006D7D66" w:rsidRDefault="00D14D8D">
      <w:pPr>
        <w:spacing w:line="500" w:lineRule="exact"/>
        <w:ind w:firstLineChars="200" w:firstLine="560"/>
        <w:jc w:val="left"/>
        <w:rPr>
          <w:rFonts w:ascii="仿宋" w:eastAsia="仿宋" w:hAnsi="仿宋"/>
          <w:sz w:val="28"/>
          <w:szCs w:val="24"/>
        </w:rPr>
      </w:pPr>
      <w:r>
        <w:rPr>
          <w:rFonts w:ascii="仿宋" w:eastAsia="仿宋" w:hAnsi="仿宋" w:hint="eastAsia"/>
          <w:sz w:val="28"/>
          <w:szCs w:val="24"/>
        </w:rPr>
        <w:t>根据现场检查</w:t>
      </w:r>
      <w:r>
        <w:rPr>
          <w:rFonts w:ascii="仿宋" w:eastAsia="仿宋" w:hAnsi="仿宋"/>
          <w:sz w:val="28"/>
          <w:szCs w:val="24"/>
        </w:rPr>
        <w:t>发现</w:t>
      </w:r>
      <w:r>
        <w:rPr>
          <w:rFonts w:ascii="仿宋" w:eastAsia="仿宋" w:hAnsi="仿宋" w:hint="eastAsia"/>
          <w:sz w:val="28"/>
          <w:szCs w:val="24"/>
        </w:rPr>
        <w:t>安全</w:t>
      </w:r>
      <w:r>
        <w:rPr>
          <w:rFonts w:ascii="仿宋" w:eastAsia="仿宋" w:hAnsi="仿宋"/>
          <w:sz w:val="28"/>
          <w:szCs w:val="24"/>
        </w:rPr>
        <w:t>问题和隐患的</w:t>
      </w:r>
      <w:r>
        <w:rPr>
          <w:rFonts w:ascii="仿宋" w:eastAsia="仿宋" w:hAnsi="仿宋" w:hint="eastAsia"/>
          <w:sz w:val="28"/>
          <w:szCs w:val="24"/>
        </w:rPr>
        <w:t>情况</w:t>
      </w:r>
      <w:r>
        <w:rPr>
          <w:rFonts w:ascii="仿宋" w:eastAsia="仿宋" w:hAnsi="仿宋"/>
          <w:sz w:val="28"/>
          <w:szCs w:val="24"/>
        </w:rPr>
        <w:t>，对照指标</w:t>
      </w:r>
      <w:r>
        <w:rPr>
          <w:rFonts w:ascii="仿宋" w:eastAsia="仿宋" w:hAnsi="仿宋" w:hint="eastAsia"/>
          <w:sz w:val="28"/>
          <w:szCs w:val="24"/>
        </w:rPr>
        <w:t>条款</w:t>
      </w:r>
      <w:r>
        <w:rPr>
          <w:rFonts w:ascii="仿宋" w:eastAsia="仿宋" w:hAnsi="仿宋"/>
          <w:sz w:val="28"/>
          <w:szCs w:val="24"/>
        </w:rPr>
        <w:t>的</w:t>
      </w:r>
      <w:r>
        <w:rPr>
          <w:rFonts w:ascii="仿宋" w:eastAsia="仿宋" w:hAnsi="仿宋" w:hint="eastAsia"/>
          <w:sz w:val="28"/>
          <w:szCs w:val="24"/>
        </w:rPr>
        <w:t>星级和</w:t>
      </w:r>
      <w:r>
        <w:rPr>
          <w:rFonts w:ascii="仿宋" w:eastAsia="仿宋" w:hAnsi="仿宋"/>
          <w:sz w:val="28"/>
          <w:szCs w:val="24"/>
        </w:rPr>
        <w:t>数量，</w:t>
      </w:r>
      <w:r>
        <w:rPr>
          <w:rFonts w:ascii="仿宋" w:eastAsia="仿宋" w:hAnsi="仿宋" w:hint="eastAsia"/>
          <w:sz w:val="28"/>
          <w:szCs w:val="24"/>
        </w:rPr>
        <w:t>判定</w:t>
      </w:r>
      <w:r>
        <w:rPr>
          <w:rFonts w:ascii="仿宋" w:eastAsia="仿宋" w:hAnsi="仿宋"/>
          <w:sz w:val="28"/>
          <w:szCs w:val="24"/>
        </w:rPr>
        <w:t>检查结果</w:t>
      </w:r>
      <w:r>
        <w:rPr>
          <w:rFonts w:ascii="仿宋" w:eastAsia="仿宋" w:hAnsi="仿宋" w:hint="eastAsia"/>
          <w:sz w:val="28"/>
          <w:szCs w:val="24"/>
        </w:rPr>
        <w:t>档级，</w:t>
      </w:r>
      <w:r>
        <w:rPr>
          <w:rFonts w:ascii="仿宋" w:eastAsia="仿宋" w:hAnsi="仿宋"/>
          <w:sz w:val="28"/>
          <w:szCs w:val="24"/>
        </w:rPr>
        <w:t>作为</w:t>
      </w:r>
      <w:r>
        <w:rPr>
          <w:rFonts w:ascii="仿宋" w:eastAsia="仿宋" w:hAnsi="仿宋" w:hint="eastAsia"/>
          <w:sz w:val="28"/>
          <w:szCs w:val="24"/>
        </w:rPr>
        <w:t>现场</w:t>
      </w:r>
      <w:r>
        <w:rPr>
          <w:rFonts w:ascii="仿宋" w:eastAsia="仿宋" w:hAnsi="仿宋"/>
          <w:sz w:val="28"/>
          <w:szCs w:val="24"/>
        </w:rPr>
        <w:t>检查的结</w:t>
      </w:r>
      <w:r>
        <w:rPr>
          <w:rFonts w:ascii="仿宋" w:eastAsia="仿宋" w:hAnsi="仿宋" w:hint="eastAsia"/>
          <w:sz w:val="28"/>
          <w:szCs w:val="24"/>
        </w:rPr>
        <w:t>果（见</w:t>
      </w:r>
      <w:r>
        <w:rPr>
          <w:rFonts w:ascii="仿宋" w:eastAsia="仿宋" w:hAnsi="仿宋"/>
          <w:sz w:val="28"/>
          <w:szCs w:val="24"/>
        </w:rPr>
        <w:t>表</w:t>
      </w:r>
      <w:r>
        <w:rPr>
          <w:rFonts w:ascii="仿宋" w:eastAsia="仿宋" w:hAnsi="仿宋" w:hint="eastAsia"/>
          <w:sz w:val="28"/>
          <w:szCs w:val="24"/>
        </w:rPr>
        <w:t>2）。</w:t>
      </w:r>
    </w:p>
    <w:p w:rsidR="006D7D66" w:rsidRDefault="006D7D66">
      <w:pPr>
        <w:spacing w:line="500" w:lineRule="exact"/>
        <w:ind w:firstLineChars="200" w:firstLine="560"/>
        <w:rPr>
          <w:rFonts w:ascii="仿宋" w:eastAsia="仿宋" w:hAnsi="仿宋"/>
          <w:sz w:val="28"/>
          <w:szCs w:val="24"/>
        </w:rPr>
      </w:pPr>
    </w:p>
    <w:p w:rsidR="006D7D66" w:rsidRDefault="00D14D8D">
      <w:pPr>
        <w:spacing w:line="500" w:lineRule="exact"/>
        <w:rPr>
          <w:rFonts w:ascii="仿宋" w:eastAsia="仿宋" w:hAnsi="仿宋"/>
          <w:b/>
          <w:bCs/>
          <w:sz w:val="28"/>
          <w:szCs w:val="24"/>
        </w:rPr>
      </w:pPr>
      <w:r>
        <w:rPr>
          <w:rFonts w:ascii="仿宋" w:eastAsia="仿宋" w:hAnsi="仿宋" w:hint="eastAsia"/>
          <w:b/>
          <w:bCs/>
          <w:sz w:val="28"/>
          <w:szCs w:val="24"/>
        </w:rPr>
        <w:t>表1.</w:t>
      </w:r>
    </w:p>
    <w:p w:rsidR="006D7D66" w:rsidRDefault="00D14D8D">
      <w:pPr>
        <w:spacing w:line="500" w:lineRule="exact"/>
        <w:jc w:val="center"/>
        <w:rPr>
          <w:rFonts w:ascii="仿宋" w:eastAsia="仿宋" w:hAnsi="仿宋"/>
          <w:sz w:val="28"/>
          <w:szCs w:val="24"/>
        </w:rPr>
      </w:pPr>
      <w:r>
        <w:rPr>
          <w:rFonts w:ascii="仿宋" w:eastAsia="仿宋" w:hAnsi="仿宋" w:hint="eastAsia"/>
          <w:b/>
          <w:sz w:val="28"/>
          <w:szCs w:val="24"/>
        </w:rPr>
        <w:t>实验室</w:t>
      </w:r>
      <w:r>
        <w:rPr>
          <w:rFonts w:ascii="仿宋" w:eastAsia="仿宋" w:hAnsi="仿宋"/>
          <w:b/>
          <w:sz w:val="28"/>
          <w:szCs w:val="24"/>
        </w:rPr>
        <w:t>安全检查条款</w:t>
      </w:r>
      <w:r>
        <w:rPr>
          <w:rFonts w:ascii="仿宋" w:eastAsia="仿宋" w:hAnsi="仿宋" w:hint="eastAsia"/>
          <w:b/>
          <w:sz w:val="28"/>
          <w:szCs w:val="24"/>
        </w:rPr>
        <w:t>星号</w:t>
      </w:r>
      <w:r>
        <w:rPr>
          <w:rFonts w:ascii="仿宋" w:eastAsia="仿宋" w:hAnsi="仿宋"/>
          <w:b/>
          <w:sz w:val="28"/>
          <w:szCs w:val="24"/>
        </w:rPr>
        <w:t>分级</w:t>
      </w:r>
    </w:p>
    <w:tbl>
      <w:tblPr>
        <w:tblStyle w:val="a3"/>
        <w:tblpPr w:leftFromText="180" w:rightFromText="180" w:vertAnchor="text" w:horzAnchor="margin" w:tblpXSpec="center" w:tblpY="37"/>
        <w:tblW w:w="9493" w:type="dxa"/>
        <w:tblLayout w:type="fixed"/>
        <w:tblLook w:val="04A0"/>
      </w:tblPr>
      <w:tblGrid>
        <w:gridCol w:w="562"/>
        <w:gridCol w:w="851"/>
        <w:gridCol w:w="1843"/>
        <w:gridCol w:w="5528"/>
        <w:gridCol w:w="709"/>
      </w:tblGrid>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b/>
                <w:sz w:val="24"/>
                <w:szCs w:val="24"/>
              </w:rPr>
            </w:pPr>
            <w:r>
              <w:rPr>
                <w:rFonts w:asciiTheme="minorEastAsia" w:hAnsiTheme="minorEastAsia" w:hint="eastAsia"/>
                <w:b/>
                <w:sz w:val="24"/>
                <w:szCs w:val="24"/>
              </w:rPr>
              <w:t>序号</w:t>
            </w:r>
          </w:p>
        </w:tc>
        <w:tc>
          <w:tcPr>
            <w:tcW w:w="851"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b/>
                <w:sz w:val="24"/>
                <w:szCs w:val="24"/>
              </w:rPr>
            </w:pPr>
            <w:r>
              <w:rPr>
                <w:rFonts w:asciiTheme="minorEastAsia" w:hAnsiTheme="minorEastAsia" w:hint="eastAsia"/>
                <w:b/>
                <w:sz w:val="24"/>
                <w:szCs w:val="24"/>
              </w:rPr>
              <w:t>编号</w:t>
            </w:r>
          </w:p>
        </w:tc>
        <w:tc>
          <w:tcPr>
            <w:tcW w:w="1843"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b/>
                <w:sz w:val="24"/>
                <w:szCs w:val="24"/>
              </w:rPr>
            </w:pPr>
            <w:r>
              <w:rPr>
                <w:rFonts w:asciiTheme="minorEastAsia" w:hAnsiTheme="minorEastAsia" w:hint="eastAsia"/>
                <w:b/>
                <w:sz w:val="24"/>
                <w:szCs w:val="24"/>
              </w:rPr>
              <w:t>小类</w:t>
            </w:r>
            <w:r>
              <w:rPr>
                <w:rFonts w:asciiTheme="minorEastAsia" w:hAnsiTheme="minorEastAsia"/>
                <w:b/>
                <w:sz w:val="24"/>
                <w:szCs w:val="24"/>
              </w:rPr>
              <w:t>名称</w:t>
            </w:r>
          </w:p>
        </w:tc>
        <w:tc>
          <w:tcPr>
            <w:tcW w:w="5528"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b/>
                <w:sz w:val="24"/>
                <w:szCs w:val="24"/>
              </w:rPr>
            </w:pPr>
            <w:r>
              <w:rPr>
                <w:rFonts w:asciiTheme="minorEastAsia" w:hAnsiTheme="minorEastAsia" w:hint="eastAsia"/>
                <w:b/>
                <w:sz w:val="24"/>
                <w:szCs w:val="24"/>
              </w:rPr>
              <w:t>检查</w:t>
            </w:r>
            <w:r>
              <w:rPr>
                <w:rFonts w:asciiTheme="minorEastAsia" w:hAnsiTheme="minorEastAsia"/>
                <w:b/>
                <w:sz w:val="24"/>
                <w:szCs w:val="24"/>
              </w:rPr>
              <w:t>项目</w:t>
            </w:r>
          </w:p>
        </w:tc>
        <w:tc>
          <w:tcPr>
            <w:tcW w:w="709"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b/>
                <w:sz w:val="24"/>
                <w:szCs w:val="24"/>
              </w:rPr>
            </w:pPr>
            <w:r>
              <w:rPr>
                <w:rFonts w:asciiTheme="minorEastAsia" w:hAnsiTheme="minorEastAsia" w:hint="eastAsia"/>
                <w:b/>
                <w:sz w:val="24"/>
                <w:szCs w:val="24"/>
              </w:rPr>
              <w:t>条款</w:t>
            </w:r>
          </w:p>
          <w:p w:rsidR="006D7D66" w:rsidRDefault="00D14D8D">
            <w:pPr>
              <w:spacing w:line="320" w:lineRule="exact"/>
              <w:jc w:val="center"/>
              <w:rPr>
                <w:rFonts w:asciiTheme="minorEastAsia" w:hAnsiTheme="minorEastAsia"/>
                <w:b/>
                <w:sz w:val="24"/>
                <w:szCs w:val="24"/>
              </w:rPr>
            </w:pPr>
            <w:r>
              <w:rPr>
                <w:rFonts w:asciiTheme="minorEastAsia" w:hAnsiTheme="minorEastAsia" w:hint="eastAsia"/>
                <w:b/>
                <w:sz w:val="24"/>
                <w:szCs w:val="24"/>
              </w:rPr>
              <w:t>等级</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hint="eastAsia"/>
                <w:sz w:val="24"/>
                <w:szCs w:val="24"/>
              </w:rPr>
              <w:t>1.1.1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学校层面安全责任</w:t>
            </w:r>
            <w:r>
              <w:rPr>
                <w:rFonts w:ascii="宋体" w:eastAsia="宋体" w:hAnsi="宋体" w:cs="宋体" w:hint="eastAsia"/>
                <w:szCs w:val="21"/>
              </w:rPr>
              <w:lastRenderedPageBreak/>
              <w:t>体系</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lastRenderedPageBreak/>
              <w:t>有校级实验室安全工作领导机构，由校领导作为负责人，相</w:t>
            </w:r>
            <w:r>
              <w:rPr>
                <w:rFonts w:ascii="宋体" w:eastAsia="宋体" w:hAnsi="宋体" w:cs="宋体" w:hint="eastAsia"/>
                <w:szCs w:val="21"/>
              </w:rPr>
              <w:lastRenderedPageBreak/>
              <w:t>关职能部门参与，设办公室</w:t>
            </w:r>
          </w:p>
        </w:tc>
        <w:tc>
          <w:tcPr>
            <w:tcW w:w="709"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hint="eastAsia"/>
                <w:sz w:val="24"/>
                <w:szCs w:val="24"/>
              </w:rPr>
              <w:lastRenderedPageBreak/>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2</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Cs w:val="21"/>
              </w:rPr>
              <w:t>1.1.2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有处级职能部门主管实验室技术安全工作，下设实验室安全管理科室（3万学生规模以上且仪器设备总值超过3亿元的学校），或有专职的实验室安全管理人员</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有实验室技术安全管理办法</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8.1.2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危险化学品采购、验收、发放</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剧毒品、易制毒品、易制爆品、爆炸品购买前须经学校审批，报公安部门批准或备案后，向具有经营许可资质的单位购买。</w:t>
            </w:r>
            <w:proofErr w:type="gramStart"/>
            <w:r>
              <w:rPr>
                <w:rFonts w:ascii="宋体" w:eastAsia="宋体" w:hAnsi="宋体" w:cs="宋体" w:hint="eastAsia"/>
                <w:szCs w:val="21"/>
              </w:rPr>
              <w:t>校职能</w:t>
            </w:r>
            <w:proofErr w:type="gramEnd"/>
            <w:r>
              <w:rPr>
                <w:rFonts w:ascii="宋体" w:eastAsia="宋体" w:hAnsi="宋体" w:cs="宋体" w:hint="eastAsia"/>
                <w:szCs w:val="21"/>
              </w:rPr>
              <w:t>部门保留资料、建立档案。不得私自从外单位获取管控化学品</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9.3.6</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自行</w:t>
            </w:r>
            <w:proofErr w:type="gramStart"/>
            <w:r>
              <w:rPr>
                <w:rFonts w:ascii="宋体" w:eastAsia="宋体" w:hAnsi="宋体" w:cs="宋体" w:hint="eastAsia"/>
                <w:szCs w:val="21"/>
              </w:rPr>
              <w:t>分离高</w:t>
            </w:r>
            <w:proofErr w:type="gramEnd"/>
            <w:r>
              <w:rPr>
                <w:rFonts w:ascii="宋体" w:eastAsia="宋体" w:hAnsi="宋体" w:cs="宋体" w:hint="eastAsia"/>
                <w:szCs w:val="21"/>
              </w:rPr>
              <w:t>致病性病原微生物，必须在相应安全等级的实验室中进行，并</w:t>
            </w:r>
            <w:proofErr w:type="gramStart"/>
            <w:r>
              <w:rPr>
                <w:rFonts w:ascii="宋体" w:eastAsia="宋体" w:hAnsi="宋体" w:cs="宋体" w:hint="eastAsia"/>
                <w:szCs w:val="21"/>
              </w:rPr>
              <w:t>报卫生</w:t>
            </w:r>
            <w:proofErr w:type="gramEnd"/>
            <w:r>
              <w:rPr>
                <w:rFonts w:ascii="宋体" w:eastAsia="宋体" w:hAnsi="宋体" w:cs="宋体" w:hint="eastAsia"/>
                <w:szCs w:val="21"/>
              </w:rPr>
              <w:t>或农业主管部门批准，方可保存和开展实验，资料报学校备案</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Cs w:val="21"/>
              </w:rPr>
              <w:t>1.1.5</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各级主管实验室安全的负责人到岗一年内参与了实验室安全培训，有培训证书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1.2.1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院级层面安全责任体系</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成立实验室安全领导小组，由党/政主要领导作为负责人，研究所、中心、教研室、实验室等负责人参加。分管实验室的领导主管实验室安全</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2.1.3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有实验室安全检查制度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Cs w:val="21"/>
              </w:rPr>
              <w:t>2.1.4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有实验室安全教育与实验室准入制度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10</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Cs w:val="21"/>
              </w:rPr>
              <w:t>2.1.7</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color w:val="000000"/>
                <w:szCs w:val="21"/>
              </w:rPr>
              <w:t>有实验室突发事件应急预案（包括化学、生物、辐射、电气、机械等分类）</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安全教育活动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开设合适的实验室安全必修课或选修课</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3.2.1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实验室安全考试系统</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建立了实验室安全知识考试系统，具有学习与考试功能</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危险源辨识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学校、学院层面建立了实验室安全危险源清单，内容包括涉及单位、房间、类别、数量、责任人等信息</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4.1.3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危险源辨识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涉及剧毒品、病原微生物、放射性同位素、强磁等高危场所，具备符合要求的软硬件设施，并有明显的警示标识</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隐患整改</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如有重大隐患，实验室应立即停止实验活动，采取相应防范措施或整改完成后方能恢复实验</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hint="eastAsia"/>
                <w:color w:val="000000"/>
                <w:sz w:val="24"/>
                <w:szCs w:val="24"/>
              </w:rPr>
              <w:t>6.4.1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门禁监控</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在剧毒品、病原微生物，特种设备和放射源存放点等重点场所安装门禁和监控设施，运转正常，有专人管理</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Cs w:val="21"/>
              </w:rPr>
            </w:pPr>
            <w:r>
              <w:rPr>
                <w:rFonts w:ascii="Times New Roman" w:hAnsi="Times New Roman" w:cs="Times New Roman"/>
                <w:color w:val="000000"/>
                <w:sz w:val="24"/>
                <w:szCs w:val="24"/>
              </w:rPr>
              <w:t>8.4.1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配备专门的保险柜并固定，实行双人双锁保管；对于具有高挥发性、低闪点的剧毒品应存放在具有防爆功能的冰箱内，并配备双锁；配备监控与报警装置</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8.4.2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执行双人收发、双人运输；应严格记录品种、规格以及购入、发放、退回的日期、单位及经手人、数量以及结存数量</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19</w:t>
            </w:r>
          </w:p>
        </w:tc>
        <w:tc>
          <w:tcPr>
            <w:tcW w:w="851" w:type="dxa"/>
            <w:shd w:val="clear" w:color="auto" w:fill="auto"/>
            <w:tcMar>
              <w:left w:w="45" w:type="dxa"/>
              <w:right w:w="45" w:type="dxa"/>
            </w:tcMar>
            <w:vAlign w:val="center"/>
          </w:tcPr>
          <w:p w:rsidR="006D7D66" w:rsidRDefault="00D14D8D">
            <w:pPr>
              <w:spacing w:line="320" w:lineRule="exact"/>
              <w:rPr>
                <w:color w:val="000000"/>
                <w:sz w:val="24"/>
                <w:szCs w:val="24"/>
              </w:rPr>
            </w:pPr>
            <w:r>
              <w:rPr>
                <w:rFonts w:ascii="Times New Roman" w:hAnsi="Times New Roman" w:cs="Times New Roman"/>
                <w:color w:val="000000"/>
                <w:sz w:val="24"/>
                <w:szCs w:val="24"/>
              </w:rPr>
              <w:t>8.4.3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剧毒品管理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使用时有两人同时在场，且计量取用后立即放回保险柜，详细记载用途，双人签字</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其它管控化学品管</w:t>
            </w:r>
            <w:r>
              <w:rPr>
                <w:rFonts w:ascii="宋体" w:eastAsia="宋体" w:hAnsi="宋体" w:cs="宋体" w:hint="eastAsia"/>
                <w:szCs w:val="21"/>
              </w:rPr>
              <w:lastRenderedPageBreak/>
              <w:t>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lastRenderedPageBreak/>
              <w:t>易制毒品分类存放、专人保管，做好领取、使用、处置记录；</w:t>
            </w:r>
            <w:r>
              <w:rPr>
                <w:rFonts w:ascii="宋体" w:eastAsia="宋体" w:hAnsi="宋体" w:cs="宋体" w:hint="eastAsia"/>
                <w:color w:val="000000"/>
                <w:szCs w:val="21"/>
              </w:rPr>
              <w:lastRenderedPageBreak/>
              <w:t>其中第一类易制毒品实行“五双”管理制度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lastRenderedPageBreak/>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21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其它管控化学品管理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爆炸品单独隔离，限量存储，使用、销毁按照公安部门的要求执行</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从合格供应商处采购实验气体，建立气体</w:t>
            </w:r>
            <w:proofErr w:type="gramStart"/>
            <w:r>
              <w:rPr>
                <w:rFonts w:ascii="宋体" w:eastAsia="宋体" w:hAnsi="宋体" w:cs="宋体" w:hint="eastAsia"/>
                <w:color w:val="000000"/>
                <w:szCs w:val="21"/>
              </w:rPr>
              <w:t>钢瓶台</w:t>
            </w:r>
            <w:proofErr w:type="gramEnd"/>
            <w:r>
              <w:rPr>
                <w:rFonts w:ascii="宋体" w:eastAsia="宋体" w:hAnsi="宋体" w:cs="宋体" w:hint="eastAsia"/>
                <w:color w:val="000000"/>
                <w:szCs w:val="21"/>
              </w:rPr>
              <w:t>帐</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实验气体管理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涉及剧毒、易燃易爆气体的场所，配有通风设施和合适的监控报警装置等，张贴必要的安全警示标识</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化学废弃物管理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与有资质的处置单位（企业）签约处置化学废弃物</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开展病原微生物实验研究的实验室，须具备相应的安全等级资质。其中BSL-3/ABSL-3、BSL-4/ABSL-4实验室须经政府部门批准建设；BSL-1/ ABSL-1、BSL-2/ ABSL-2 实验室由学校建设后报政府卫生或农业部门备案</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开展未经灭活的高致病性病原微生物（列入一类、二类）相关实验和研究，必须在BSL-3/ABSL-3、BSL-4/ABSL-4实验室中进行</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9.1.4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实验室资质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开展低</w:t>
            </w:r>
            <w:proofErr w:type="gramEnd"/>
            <w:r>
              <w:rPr>
                <w:rFonts w:ascii="宋体" w:eastAsia="宋体" w:hAnsi="宋体" w:cs="宋体" w:hint="eastAsia"/>
                <w:color w:val="000000"/>
                <w:szCs w:val="21"/>
              </w:rPr>
              <w:t>致病性病原微生物（列入三类、四类），或经灭活的高致病性感染性材料的相关实验和研究，必须在BSL-1/ ABSL-1、BSL-2/ ABSL-2或以上等级实验室中进行</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采购高</w:t>
            </w:r>
            <w:proofErr w:type="gramEnd"/>
            <w:r>
              <w:rPr>
                <w:rFonts w:ascii="宋体" w:eastAsia="宋体" w:hAnsi="宋体" w:cs="宋体" w:hint="eastAsia"/>
                <w:color w:val="000000"/>
                <w:szCs w:val="21"/>
              </w:rPr>
              <w:t>致病性病原微生物菌（毒）种，须按照学校流程审批，</w:t>
            </w:r>
            <w:proofErr w:type="gramStart"/>
            <w:r>
              <w:rPr>
                <w:rFonts w:ascii="宋体" w:eastAsia="宋体" w:hAnsi="宋体" w:cs="宋体" w:hint="eastAsia"/>
                <w:color w:val="000000"/>
                <w:szCs w:val="21"/>
              </w:rPr>
              <w:t>报行业</w:t>
            </w:r>
            <w:proofErr w:type="gramEnd"/>
            <w:r>
              <w:rPr>
                <w:rFonts w:ascii="宋体" w:eastAsia="宋体" w:hAnsi="宋体" w:cs="宋体" w:hint="eastAsia"/>
                <w:color w:val="000000"/>
                <w:szCs w:val="21"/>
              </w:rPr>
              <w:t>主管部门批准</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29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9.7.5</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生物实验废物处置</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涉及病原微生物的实验废弃物必须进行高温高压灭菌或化学浸泡处理，并有处置的记录。高致病性生物材料废弃物处置实现溯源追踪</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实验室资质与人员要求</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涉源学校</w:t>
            </w:r>
            <w:proofErr w:type="gramEnd"/>
            <w:r>
              <w:rPr>
                <w:rFonts w:ascii="宋体" w:eastAsia="宋体" w:hAnsi="宋体" w:cs="宋体" w:hint="eastAsia"/>
                <w:color w:val="000000"/>
                <w:szCs w:val="21"/>
              </w:rPr>
              <w:t>须取得“辐射安全许可证”，并按规定在放射性核素种类和用量以及射线种类许可范围内开展实验</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31</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1.1.4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szCs w:val="21"/>
              </w:rPr>
              <w:t>学校层面安全责任体系</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color w:val="000000"/>
                <w:szCs w:val="21"/>
              </w:rPr>
              <w:t>学校与院系签订实验室安全管理责任书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32</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1.3</w:t>
            </w:r>
            <w:r>
              <w:rPr>
                <w:rFonts w:ascii="Times New Roman" w:hAnsi="Times New Roman" w:cs="Times New Roman"/>
                <w:color w:val="00B0F0"/>
                <w:sz w:val="24"/>
                <w:szCs w:val="24"/>
              </w:rPr>
              <w:t>.</w:t>
            </w:r>
            <w:r>
              <w:rPr>
                <w:rFonts w:ascii="Times New Roman" w:hAnsi="Times New Roman" w:cs="Times New Roman"/>
                <w:color w:val="000000"/>
                <w:sz w:val="24"/>
                <w:szCs w:val="24"/>
              </w:rPr>
              <w:t>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经费保障</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学校每年有实验室安全常规经费预算</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33</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1.4.2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管理部门建立了完整的实验室安全工作档案，包括责任体系、队伍建设、安全制度、奖惩、教育培训、安全检查、隐患整改、事故调查与处理、专业安全、其它相关的常规或阶段性工作归档资料等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34</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2.1.2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szCs w:val="21"/>
              </w:rPr>
              <w:t>校级层面实验室安全管理制度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有实验室安全奖励与责任追究制度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35</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2.2.3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涉及安全隐患的设备（如大型仪器、高温、高速、高压、强磁、低温等设备）有安全操作规程，并明示</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36</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2.2.4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危险性实验、工艺有实验指导书或操作规程（含安全注意事项），并明示</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2.2.5</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院系层面的安全管理制度</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建立了危险性实验风险评估与准入机制</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38</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3.1.2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安全教育活动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每年开展全校教工和学生安全教育培训活动，有记录</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39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3.2.3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实验室安全考试系统</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每年组织新教工、本科生和研究生新生学习与考试，通过者发放合格证</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rPr>
          <w:trHeight w:val="367"/>
        </w:trPr>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3.3.2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安全文化</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编印实验室安全手册并发放到每一位师生，承诺书归档</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41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4.3.1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隐患整改</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对于检查中发现的问题，有合适的方式通知被查实验室相关负责人及院系（如网上公示、整改通知书等），并规范存档</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4.3.2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隐患整改</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院系落实问题隐患的整改，整改报告在规定时间内提交学校管理部门，并归档</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4.4.1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安全报告</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学校有公示的安全检查通报（定期/不定期）</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超过200平方米的实验楼层应具有至少两处紧急出口，75平方米以上实验室要有两扇门</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每个房间门口挂有安全信息牌，信息包括安全责任人、涉及危险类别、防护措施和有效的应急联系电话等，并及时更新</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5.1.4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实验室消防通道通畅，公共场所、通道不堆放仪器、物品</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5.1.7</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所有房间均须有应急备用钥匙，集中存放、专人管理，应急时方便取用</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5.1.9</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场所环境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实验室内不得随意搭建阁楼，</w:t>
            </w:r>
            <w:proofErr w:type="gramStart"/>
            <w:r>
              <w:rPr>
                <w:rFonts w:ascii="宋体" w:eastAsia="宋体" w:hAnsi="宋体" w:cs="宋体" w:hint="eastAsia"/>
                <w:color w:val="000000"/>
                <w:szCs w:val="21"/>
              </w:rPr>
              <w:t>操作区</w:t>
            </w:r>
            <w:proofErr w:type="gramEnd"/>
            <w:r>
              <w:rPr>
                <w:rFonts w:ascii="宋体" w:eastAsia="宋体" w:hAnsi="宋体" w:cs="宋体" w:hint="eastAsia"/>
                <w:color w:val="000000"/>
                <w:szCs w:val="21"/>
              </w:rPr>
              <w:t>层高不低于2米</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49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5.3.1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卫生与日常管理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有毒有害实验区与学习区明确分开，布局合理；实验区不准饮食</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5.3.2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卫生与日常管理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实验室物品摆放有序，卫生状况良好；实验完毕物品归位</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场所其它安全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危险性实验室配备了急救药箱，药箱</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上锁、药品在保质期内</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5.4.4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场所其它安全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实验室内不存放或烧煮食物、饮食，无吸烟现象</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hint="eastAsia"/>
                <w:color w:val="000000"/>
                <w:sz w:val="24"/>
                <w:szCs w:val="24"/>
              </w:rPr>
              <w:t>6.1.2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消防设施</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灭火器在有效期内（压力指针位置正常等），安全销（拉针）正常，瓶身无破损、腐蚀</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w:t>
            </w:r>
            <w:r>
              <w:rPr>
                <w:rFonts w:asciiTheme="minorEastAsia" w:hAnsiTheme="minorEastAsia"/>
                <w:sz w:val="24"/>
                <w:szCs w:val="24"/>
              </w:rPr>
              <w:t>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hint="eastAsia"/>
                <w:color w:val="000000"/>
                <w:sz w:val="24"/>
                <w:szCs w:val="24"/>
              </w:rPr>
              <w:t>6.2.1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应急喷淋与洗眼装置</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存在可能受到化学和生物伤害的实验区域，需配置应急喷淋和洗眼装置，走廊有</w:t>
            </w:r>
            <w:proofErr w:type="gramStart"/>
            <w:r>
              <w:rPr>
                <w:rFonts w:ascii="宋体" w:eastAsia="宋体" w:hAnsi="宋体" w:cs="宋体" w:hint="eastAsia"/>
                <w:color w:val="000000"/>
                <w:szCs w:val="21"/>
              </w:rPr>
              <w:t>显著引导</w:t>
            </w:r>
            <w:proofErr w:type="gramEnd"/>
            <w:r>
              <w:rPr>
                <w:rFonts w:ascii="宋体" w:eastAsia="宋体" w:hAnsi="宋体" w:cs="宋体" w:hint="eastAsia"/>
                <w:color w:val="000000"/>
                <w:szCs w:val="21"/>
              </w:rPr>
              <w:t>标识</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hint="eastAsia"/>
                <w:color w:val="000000"/>
                <w:sz w:val="24"/>
                <w:szCs w:val="24"/>
              </w:rPr>
              <w:t>6.3.1.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通风系统</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有需要的实验场所配备符合要求的通风系统，管道风机需防腐，使用可燃气体场所应采用防爆风机</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hint="eastAsia"/>
                <w:color w:val="000000"/>
                <w:sz w:val="24"/>
                <w:szCs w:val="24"/>
              </w:rPr>
              <w:t>6.3.3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通风系统</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根据需要在通风橱管路上安装有毒有害气体的吸附或处理装置（如活性炭、光催化分解、水喷淋等）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hint="eastAsia"/>
                <w:color w:val="000000"/>
                <w:sz w:val="24"/>
                <w:szCs w:val="24"/>
              </w:rPr>
              <w:t>6.5.1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实验室防爆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防爆实验室需符合防爆设计要求，安装防爆开关、防爆灯等，安装必要的气体报警系统、监控系统及断电断水应急系统等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58</w:t>
            </w:r>
          </w:p>
        </w:tc>
        <w:tc>
          <w:tcPr>
            <w:tcW w:w="851" w:type="dxa"/>
            <w:shd w:val="clear" w:color="auto" w:fill="auto"/>
            <w:tcMar>
              <w:left w:w="45" w:type="dxa"/>
              <w:right w:w="45" w:type="dxa"/>
            </w:tcMar>
            <w:vAlign w:val="center"/>
          </w:tcPr>
          <w:p w:rsidR="006D7D66" w:rsidRDefault="00D14D8D">
            <w:pPr>
              <w:spacing w:line="320" w:lineRule="exact"/>
              <w:rPr>
                <w:rFonts w:asciiTheme="minorEastAsia" w:hAnsiTheme="minorEastAsia"/>
                <w:sz w:val="24"/>
                <w:szCs w:val="24"/>
              </w:rPr>
            </w:pPr>
            <w:r>
              <w:rPr>
                <w:rFonts w:ascii="Times New Roman" w:hAnsi="Times New Roman" w:cs="Times New Roman"/>
                <w:color w:val="000000"/>
                <w:sz w:val="24"/>
                <w:szCs w:val="24"/>
              </w:rPr>
              <w:t>7.1.1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实验室电容量、插头插座与用电设备功率需匹配，不得私自改装；电源插座</w:t>
            </w:r>
            <w:proofErr w:type="gramStart"/>
            <w:r>
              <w:rPr>
                <w:rFonts w:ascii="宋体" w:eastAsia="宋体" w:hAnsi="宋体" w:cs="宋体" w:hint="eastAsia"/>
                <w:color w:val="000000"/>
                <w:szCs w:val="21"/>
              </w:rPr>
              <w:t>须固定</w:t>
            </w:r>
            <w:proofErr w:type="gramEnd"/>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59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7.1.4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禁止多个接线板串接供电，接线板不宜直接置于地面</w:t>
            </w:r>
          </w:p>
        </w:tc>
        <w:tc>
          <w:tcPr>
            <w:tcW w:w="709" w:type="dxa"/>
            <w:shd w:val="clear" w:color="auto" w:fill="auto"/>
            <w:tcMar>
              <w:left w:w="45" w:type="dxa"/>
              <w:right w:w="45" w:type="dxa"/>
            </w:tcMar>
            <w:vAlign w:val="center"/>
          </w:tcPr>
          <w:p w:rsidR="006D7D66" w:rsidRDefault="006D7D66">
            <w:pPr>
              <w:spacing w:line="320" w:lineRule="exact"/>
              <w:jc w:val="center"/>
              <w:rPr>
                <w:sz w:val="24"/>
                <w:szCs w:val="24"/>
              </w:rPr>
            </w:pP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7.1.11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用电基础安全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插座、插头、接线板为国家质量认证的合格产品，无烧焦变形、破损现象</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w:t>
            </w:r>
            <w:r>
              <w:rPr>
                <w:rFonts w:asciiTheme="minorEastAsia" w:hAnsiTheme="minorEastAsia"/>
                <w:sz w:val="24"/>
                <w:szCs w:val="24"/>
              </w:rPr>
              <w:t>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7.2.2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用水安全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各类连接管无老化破损（特别是冷却冷凝系统的橡胶管接口处）</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按需要佩戴防护眼镜（如进行化学实验、有危险的机械操作等）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特殊场所按需佩戴安全帽、防护帽，长发不散露在外。操作机床等旋转设备时，</w:t>
            </w:r>
            <w:proofErr w:type="gramStart"/>
            <w:r>
              <w:rPr>
                <w:rFonts w:ascii="宋体" w:eastAsia="宋体" w:hAnsi="宋体" w:cs="宋体" w:hint="eastAsia"/>
                <w:color w:val="000000"/>
                <w:szCs w:val="21"/>
              </w:rPr>
              <w:t>不</w:t>
            </w:r>
            <w:proofErr w:type="gramEnd"/>
            <w:r>
              <w:rPr>
                <w:rFonts w:ascii="宋体" w:eastAsia="宋体" w:hAnsi="宋体" w:cs="宋体" w:hint="eastAsia"/>
                <w:color w:val="000000"/>
                <w:szCs w:val="21"/>
              </w:rPr>
              <w:t>穿戴长围巾、丝巾、领带等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7.3.5</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按需要佩戴防护手套（涉及不同的有害化学物质、病原微生物、高温和低温等），并正确选择不同种类和材质的手套</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7.3.6</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个人防护</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在特殊的实验室配备和使用呼吸器或面罩（如有挥发性毒</w:t>
            </w:r>
            <w:r>
              <w:rPr>
                <w:rFonts w:ascii="宋体" w:eastAsia="宋体" w:hAnsi="宋体" w:cs="宋体" w:hint="eastAsia"/>
                <w:color w:val="000000"/>
                <w:szCs w:val="21"/>
              </w:rPr>
              <w:lastRenderedPageBreak/>
              <w:t>物、溅射危险等），并正确选择种类；呼吸器或面罩在有效期内，不用时须密封放置</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lastRenderedPageBreak/>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66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危险性实验（如高温、高压、高速运转等）时必须有两人在场</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7.4.2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实验时不能脱岗，通宵实验须两人在场并有事先审批制度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7.4.4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实验结束后物品归位，保持桌面整洁</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69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8.1.1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危险化学品采购、验收、发放</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一般危险化学品要向具有</w:t>
            </w:r>
            <w:proofErr w:type="gramStart"/>
            <w:r>
              <w:rPr>
                <w:rFonts w:ascii="宋体" w:eastAsia="宋体" w:hAnsi="宋体" w:cs="宋体" w:hint="eastAsia"/>
                <w:color w:val="000000"/>
                <w:szCs w:val="21"/>
              </w:rPr>
              <w:t>危化品</w:t>
            </w:r>
            <w:proofErr w:type="gramEnd"/>
            <w:r>
              <w:rPr>
                <w:rFonts w:ascii="宋体" w:eastAsia="宋体" w:hAnsi="宋体" w:cs="宋体" w:hint="eastAsia"/>
                <w:color w:val="000000"/>
                <w:szCs w:val="21"/>
              </w:rPr>
              <w:t>生产经营许可资质的单位购买</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有实验室内化学品的动态使用台帐；建立本实验室危险化学品目录，并有危险化学品安全技术说明书（MSDS）或安全周知卡，方便查阅</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实验室内存放的危险化学品总量原则上不应超过100L或100kg，其中易燃易爆性化学品的存放总量不应超过50L 或50kg，且单一包装容器不应大于20L或20kg</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8.2.6</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实验室化学试剂存放</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化学品包装物上应有符合规定的化学品标签；当化学品由原包装</w:t>
            </w:r>
            <w:proofErr w:type="gramStart"/>
            <w:r>
              <w:rPr>
                <w:rFonts w:ascii="宋体" w:eastAsia="宋体" w:hAnsi="宋体" w:cs="宋体" w:hint="eastAsia"/>
                <w:color w:val="000000"/>
                <w:szCs w:val="21"/>
              </w:rPr>
              <w:t>物转移</w:t>
            </w:r>
            <w:proofErr w:type="gramEnd"/>
            <w:r>
              <w:rPr>
                <w:rFonts w:ascii="宋体" w:eastAsia="宋体" w:hAnsi="宋体" w:cs="宋体" w:hint="eastAsia"/>
                <w:color w:val="000000"/>
                <w:szCs w:val="21"/>
              </w:rPr>
              <w:t>或分装到其他包装物内时，转移或分装后的包装物应及时重新粘贴标识。化学品标签脱落、模糊、腐蚀后应及时补上，如不能确认，则以废弃化学品处置</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实验操作安全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制定危险实验、危险化工工艺指导书，上墙或便于取阅；按照指导书进行实验</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8.3.3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实验操作安全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建立针对特殊危险实验的应急预案，方便取阅；实验人员熟悉所涉及的危险性及应急处理措施</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其它管控化学品管理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易制爆品分类</w:t>
            </w:r>
            <w:proofErr w:type="gramEnd"/>
            <w:r>
              <w:rPr>
                <w:rFonts w:ascii="宋体" w:eastAsia="宋体" w:hAnsi="宋体" w:cs="宋体" w:hint="eastAsia"/>
                <w:color w:val="000000"/>
                <w:szCs w:val="21"/>
              </w:rPr>
              <w:t>存放、专人保管，做好领取、使用、处置记录</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8.5.4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其它管控化学品管理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麻醉品和精神类药品储存于专门的保险柜中，有规范的领取、使用、</w:t>
            </w:r>
            <w:proofErr w:type="gramStart"/>
            <w:r>
              <w:rPr>
                <w:rFonts w:ascii="宋体" w:eastAsia="宋体" w:hAnsi="宋体" w:cs="宋体" w:hint="eastAsia"/>
                <w:color w:val="000000"/>
                <w:szCs w:val="21"/>
              </w:rPr>
              <w:t>处置台</w:t>
            </w:r>
            <w:proofErr w:type="gramEnd"/>
            <w:r>
              <w:rPr>
                <w:rFonts w:ascii="宋体" w:eastAsia="宋体" w:hAnsi="宋体" w:cs="宋体" w:hint="eastAsia"/>
                <w:color w:val="000000"/>
                <w:szCs w:val="21"/>
              </w:rPr>
              <w:t>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8.6.7</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氧气等助燃气体不混放可燃性气体与</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8.6.8</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气体管路连接正确、有标识，管路材质选择合适，无破损或老化现象，定期进行气体泄漏检查；存在多条气体管路的房间须张贴详细的管路图</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79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8.6.10</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bCs/>
                <w:color w:val="000000"/>
                <w:szCs w:val="21"/>
              </w:rPr>
            </w:pPr>
            <w:r>
              <w:rPr>
                <w:rFonts w:ascii="宋体" w:eastAsia="宋体" w:hAnsi="宋体" w:cs="宋体" w:hint="eastAsia"/>
                <w:bCs/>
                <w:color w:val="000000"/>
                <w:szCs w:val="21"/>
              </w:rPr>
              <w:t>实验气体管理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无大量气体钢瓶堆放现象；每间实验室内存放的氧气和</w:t>
            </w:r>
            <w:proofErr w:type="gramStart"/>
            <w:r>
              <w:rPr>
                <w:rFonts w:ascii="宋体" w:eastAsia="宋体" w:hAnsi="宋体" w:cs="宋体" w:hint="eastAsia"/>
                <w:color w:val="000000"/>
                <w:szCs w:val="21"/>
              </w:rPr>
              <w:t>可</w:t>
            </w:r>
            <w:proofErr w:type="gramEnd"/>
            <w:r>
              <w:rPr>
                <w:rFonts w:ascii="宋体" w:eastAsia="宋体" w:hAnsi="宋体" w:cs="宋体" w:hint="eastAsia"/>
                <w:color w:val="000000"/>
                <w:szCs w:val="21"/>
              </w:rPr>
              <w:t>燃气体不宜超过一瓶，其他气瓶的存放，应控制在最小需求量；气体钢瓶不得放在走廊、大厅等公共场所</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8.7.2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bCs/>
                <w:color w:val="000000"/>
                <w:szCs w:val="21"/>
              </w:rPr>
            </w:pPr>
            <w:r>
              <w:rPr>
                <w:rFonts w:ascii="宋体" w:eastAsia="宋体" w:hAnsi="宋体" w:cs="宋体" w:hint="eastAsia"/>
                <w:color w:val="000000"/>
                <w:szCs w:val="21"/>
              </w:rPr>
              <w:t>化学废弃物管理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学校有统一的化学实验废弃物标签，包含废物类别、危险特性、主要成分、产生部门、</w:t>
            </w:r>
            <w:proofErr w:type="gramStart"/>
            <w:r>
              <w:rPr>
                <w:rFonts w:ascii="宋体" w:eastAsia="宋体" w:hAnsi="宋体" w:cs="宋体" w:hint="eastAsia"/>
                <w:color w:val="000000"/>
                <w:szCs w:val="21"/>
              </w:rPr>
              <w:t>送储人</w:t>
            </w:r>
            <w:proofErr w:type="gramEnd"/>
            <w:r>
              <w:rPr>
                <w:rFonts w:ascii="宋体" w:eastAsia="宋体" w:hAnsi="宋体" w:cs="宋体" w:hint="eastAsia"/>
                <w:color w:val="000000"/>
                <w:szCs w:val="21"/>
              </w:rPr>
              <w:t>、日期等信息</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8.8.1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bCs/>
                <w:color w:val="000000"/>
                <w:szCs w:val="21"/>
              </w:rPr>
            </w:pPr>
            <w:proofErr w:type="gramStart"/>
            <w:r>
              <w:rPr>
                <w:rFonts w:ascii="宋体" w:eastAsia="宋体" w:hAnsi="宋体" w:cs="宋体" w:hint="eastAsia"/>
                <w:color w:val="000000"/>
                <w:szCs w:val="21"/>
              </w:rPr>
              <w:t>危化品</w:t>
            </w:r>
            <w:proofErr w:type="gramEnd"/>
            <w:r>
              <w:rPr>
                <w:rFonts w:ascii="宋体" w:eastAsia="宋体" w:hAnsi="宋体" w:cs="宋体" w:hint="eastAsia"/>
                <w:color w:val="000000"/>
                <w:szCs w:val="21"/>
              </w:rPr>
              <w:t>仓库与废弃物中转站</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学校有危险品仓库、化学实验废弃物中转站，须有通风、隔热、避光、防盗、防爆、防静电、泄露报警、应急喷淋、安全警示标识等管控措施，符合相关规定，专人管理</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学校有统一的试剂标签（用于配置试剂、合成品、样品等），信息包括名称、浓度、责任人、日期、储存条件等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无使用饮料瓶存放试剂、样品的现象。如确需存放，必须撕去原包装纸，贴上统一的试剂标签</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8.9.6</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其它化学安全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用于浸泡玻璃器皿的酸缸、</w:t>
            </w:r>
            <w:proofErr w:type="gramStart"/>
            <w:r>
              <w:rPr>
                <w:rFonts w:ascii="宋体" w:eastAsia="宋体" w:hAnsi="宋体" w:cs="宋体" w:hint="eastAsia"/>
                <w:color w:val="000000"/>
                <w:szCs w:val="21"/>
              </w:rPr>
              <w:t>碱缸等</w:t>
            </w:r>
            <w:proofErr w:type="gramEnd"/>
            <w:r>
              <w:rPr>
                <w:rFonts w:ascii="宋体" w:eastAsia="宋体" w:hAnsi="宋体" w:cs="宋体" w:hint="eastAsia"/>
                <w:color w:val="000000"/>
                <w:szCs w:val="21"/>
              </w:rPr>
              <w:t>有盖子盖上、标签明确</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lastRenderedPageBreak/>
              <w:t>85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9.2.3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场所与设施</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储存病原微生物的场所或储柜配备防盗设施，并安装监控报警装置</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高致病性病原微生物的转移和运输需按规定</w:t>
            </w:r>
            <w:proofErr w:type="gramStart"/>
            <w:r>
              <w:rPr>
                <w:rFonts w:ascii="宋体" w:eastAsia="宋体" w:hAnsi="宋体" w:cs="宋体" w:hint="eastAsia"/>
                <w:color w:val="000000"/>
                <w:szCs w:val="21"/>
              </w:rPr>
              <w:t>报卫生</w:t>
            </w:r>
            <w:proofErr w:type="gramEnd"/>
            <w:r>
              <w:rPr>
                <w:rFonts w:ascii="宋体" w:eastAsia="宋体" w:hAnsi="宋体" w:cs="宋体" w:hint="eastAsia"/>
                <w:color w:val="000000"/>
                <w:szCs w:val="21"/>
              </w:rPr>
              <w:t>和农业主管部门批准，并按相应的运输包装要求包装后转移和运输</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9.3.4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病原微生物菌（毒）种保存在带锁冰箱或柜子中，高致病性病原微生物实行双人双</w:t>
            </w:r>
            <w:proofErr w:type="gramStart"/>
            <w:r>
              <w:rPr>
                <w:rFonts w:ascii="宋体" w:eastAsia="宋体" w:hAnsi="宋体" w:cs="宋体" w:hint="eastAsia"/>
                <w:color w:val="000000"/>
                <w:szCs w:val="21"/>
              </w:rPr>
              <w:t>锁管理</w:t>
            </w:r>
            <w:proofErr w:type="gramEnd"/>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Cs w:val="21"/>
              </w:rPr>
              <w:t>9.3.5</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szCs w:val="21"/>
              </w:rPr>
              <w:t>病原微生物采购与保管</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有病原微生物菌（毒）种保存、实验使用、销毁的记录</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89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9.4.1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人员管理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开展病原微生物相关实验和研究的人员经过专业培训，考核合格，并取得证书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9.5.2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操作管理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BSL-2 /ABSL-2及以上等级实验室，开展病原微生物的相关实验活动应有风险评估和应急预案，包括病原微生物及感染材料溢出和意外事故的书面操作程序</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实验动物安全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饲养实验动物的场所应有资质证书</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9.6.2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szCs w:val="21"/>
              </w:rPr>
            </w:pPr>
            <w:r>
              <w:rPr>
                <w:rFonts w:ascii="宋体" w:eastAsia="宋体" w:hAnsi="宋体" w:cs="宋体" w:hint="eastAsia"/>
                <w:color w:val="000000"/>
                <w:szCs w:val="21"/>
              </w:rPr>
              <w:t>实验动物安全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实验动物需从具有资质的单位购买，有合格证明</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生物实验废物处置</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学校与有资质的单位签约处置生化废弃物，有交接记录</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9.7.4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生物实验废物处置</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配备了生化实验废弃物垃圾桶（一般内置黄色塑料袋），有标签；刀片、</w:t>
            </w:r>
            <w:proofErr w:type="gramStart"/>
            <w:r>
              <w:rPr>
                <w:rFonts w:ascii="宋体" w:eastAsia="宋体" w:hAnsi="宋体" w:cs="宋体" w:hint="eastAsia"/>
                <w:color w:val="000000"/>
                <w:szCs w:val="21"/>
              </w:rPr>
              <w:t>移液枪</w:t>
            </w:r>
            <w:proofErr w:type="gramEnd"/>
            <w:r>
              <w:rPr>
                <w:rFonts w:ascii="宋体" w:eastAsia="宋体" w:hAnsi="宋体" w:cs="宋体" w:hint="eastAsia"/>
                <w:color w:val="000000"/>
                <w:szCs w:val="21"/>
              </w:rPr>
              <w:t>头等尖锐物应</w:t>
            </w:r>
            <w:proofErr w:type="gramStart"/>
            <w:r>
              <w:rPr>
                <w:rFonts w:ascii="宋体" w:eastAsia="宋体" w:hAnsi="宋体" w:cs="宋体" w:hint="eastAsia"/>
                <w:color w:val="000000"/>
                <w:szCs w:val="21"/>
              </w:rPr>
              <w:t>使用耐扎的</w:t>
            </w:r>
            <w:proofErr w:type="gramEnd"/>
            <w:r>
              <w:rPr>
                <w:rFonts w:ascii="宋体" w:eastAsia="宋体" w:hAnsi="宋体" w:cs="宋体" w:hint="eastAsia"/>
                <w:color w:val="000000"/>
                <w:szCs w:val="21"/>
              </w:rPr>
              <w:t>利器盒/纸板箱盛放，</w:t>
            </w:r>
            <w:proofErr w:type="gramStart"/>
            <w:r>
              <w:rPr>
                <w:rFonts w:ascii="宋体" w:eastAsia="宋体" w:hAnsi="宋体" w:cs="宋体" w:hint="eastAsia"/>
                <w:color w:val="000000"/>
                <w:szCs w:val="21"/>
              </w:rPr>
              <w:t>送储时</w:t>
            </w:r>
            <w:proofErr w:type="gramEnd"/>
            <w:r>
              <w:rPr>
                <w:rFonts w:ascii="宋体" w:eastAsia="宋体" w:hAnsi="宋体" w:cs="宋体" w:hint="eastAsia"/>
                <w:color w:val="000000"/>
                <w:szCs w:val="21"/>
              </w:rPr>
              <w:t>再装入黄色塑料袋，贴好标签。</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10.1.5</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实验室资质与人员要求</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涉源人员</w:t>
            </w:r>
            <w:proofErr w:type="gramEnd"/>
            <w:r>
              <w:rPr>
                <w:rFonts w:ascii="宋体" w:eastAsia="宋体" w:hAnsi="宋体" w:cs="宋体" w:hint="eastAsia"/>
                <w:color w:val="000000"/>
                <w:szCs w:val="21"/>
              </w:rPr>
              <w:t>进入实验场所须佩带个人剂量计；委托有资质单位按时进行剂量检测（3个月一次），有合格的个人剂量检测报告。剂量计平时不能放在实验室场所</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10.2.4</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场所与设施</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proofErr w:type="gramStart"/>
            <w:r>
              <w:rPr>
                <w:rFonts w:ascii="宋体" w:eastAsia="宋体" w:hAnsi="宋体" w:cs="宋体" w:hint="eastAsia"/>
                <w:color w:val="000000"/>
                <w:szCs w:val="21"/>
              </w:rPr>
              <w:t>涉源实验</w:t>
            </w:r>
            <w:proofErr w:type="gramEnd"/>
            <w:r>
              <w:rPr>
                <w:rFonts w:ascii="宋体" w:eastAsia="宋体" w:hAnsi="宋体" w:cs="宋体" w:hint="eastAsia"/>
                <w:color w:val="000000"/>
                <w:szCs w:val="21"/>
              </w:rPr>
              <w:t>场所每年有合格的实验场所检测报告</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10.5.1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放射性实验废弃物的处置</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报废含有放射源或可产生放射性的设备，需报学校管理部门同意，并按国家规定进行退役处置；X光管报废时应敲碎，拍照留存</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11.1.8</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仪器设备常规管理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对于高温、高压、高速运动、电磁辐射等特殊设备，对使用者有培训要求，有安全警示标识和安全警示线（黄色），并配备相应安全防护设施</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99</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11.2.1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机械安全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高速切削机械操作，工作前穿好工作服，戴好防护眼镜，衣袖口应扣紧，长发学生戴好工作帽。工作</w:t>
            </w:r>
            <w:proofErr w:type="gramStart"/>
            <w:r>
              <w:rPr>
                <w:rFonts w:ascii="宋体" w:eastAsia="宋体" w:hAnsi="宋体" w:cs="宋体" w:hint="eastAsia"/>
                <w:color w:val="000000"/>
                <w:szCs w:val="21"/>
              </w:rPr>
              <w:t>场所禁戴手套</w:t>
            </w:r>
            <w:proofErr w:type="gramEnd"/>
            <w:r>
              <w:rPr>
                <w:rFonts w:ascii="宋体" w:eastAsia="宋体" w:hAnsi="宋体" w:cs="宋体" w:hint="eastAsia"/>
                <w:color w:val="000000"/>
                <w:szCs w:val="21"/>
              </w:rPr>
              <w:t>、长围巾、领带、手镯等配饰物，</w:t>
            </w:r>
            <w:proofErr w:type="gramStart"/>
            <w:r>
              <w:rPr>
                <w:rFonts w:ascii="宋体" w:eastAsia="宋体" w:hAnsi="宋体" w:cs="宋体" w:hint="eastAsia"/>
                <w:color w:val="000000"/>
                <w:szCs w:val="21"/>
              </w:rPr>
              <w:t>禁穿拖鞋</w:t>
            </w:r>
            <w:proofErr w:type="gramEnd"/>
            <w:r>
              <w:rPr>
                <w:rFonts w:ascii="宋体" w:eastAsia="宋体" w:hAnsi="宋体" w:cs="宋体" w:hint="eastAsia"/>
                <w:color w:val="000000"/>
                <w:szCs w:val="21"/>
              </w:rPr>
              <w:t>、高跟鞋等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hint="eastAsia"/>
                <w:sz w:val="24"/>
                <w:szCs w:val="24"/>
              </w:rPr>
              <w:t>100</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11.3.6</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电气安全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高压、大电流等强电实验室要设定安全距离，按规定设置安全警示牌、安全信号灯、联动式警铃、门锁，有安全隔离装置或屏蔽遮栏（由金属制成，并可靠接地，高度不低于2米）；控制室（控制台）应铺橡胶、绝缘垫等</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sz w:val="24"/>
                <w:szCs w:val="24"/>
              </w:rPr>
              <w:t>101</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11.3.10</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电气安全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断电操作时，在电源箱处有明显警示标识，以防他人随意合闸</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sz w:val="24"/>
                <w:szCs w:val="24"/>
              </w:rPr>
              <w:t>102</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11.5.2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粉尘安全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大量粉状物质的储存与使用场所，选用防爆型的电气设备、防爆灯、防爆电气开关，导线敷设应选用镀锌</w:t>
            </w:r>
            <w:proofErr w:type="gramStart"/>
            <w:r>
              <w:rPr>
                <w:rFonts w:ascii="宋体" w:eastAsia="宋体" w:hAnsi="宋体" w:cs="宋体" w:hint="eastAsia"/>
                <w:color w:val="000000"/>
                <w:szCs w:val="21"/>
              </w:rPr>
              <w:t>管气或水煤</w:t>
            </w:r>
            <w:proofErr w:type="gramEnd"/>
            <w:r>
              <w:rPr>
                <w:rFonts w:ascii="宋体" w:eastAsia="宋体" w:hAnsi="宋体" w:cs="宋体" w:hint="eastAsia"/>
                <w:color w:val="000000"/>
                <w:szCs w:val="21"/>
              </w:rPr>
              <w:t>管，必须达到整体防爆要求。</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sz w:val="24"/>
                <w:szCs w:val="24"/>
              </w:rPr>
              <w:t>103</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12.1.2</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起重类设备</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操作人员须取得《特种设备作业人员证》，持证上岗，并每4年复审一次</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sz w:val="24"/>
                <w:szCs w:val="24"/>
              </w:rPr>
              <w:lastRenderedPageBreak/>
              <w:t>104</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12.2.1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压力容器</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压力大于0.1MPa且容积大于30L的压力容器，须取得《特种设备使用登记证》和《压力容器登记卡》</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sz w:val="24"/>
                <w:szCs w:val="24"/>
              </w:rPr>
              <w:t>105</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12.4.1</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冰箱管理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贮存危险化学品的冰箱为</w:t>
            </w:r>
            <w:proofErr w:type="gramStart"/>
            <w:r>
              <w:rPr>
                <w:rFonts w:ascii="宋体" w:eastAsia="宋体" w:hAnsi="宋体" w:cs="宋体" w:hint="eastAsia"/>
                <w:color w:val="000000"/>
                <w:szCs w:val="21"/>
              </w:rPr>
              <w:t>防爆冰箱</w:t>
            </w:r>
            <w:proofErr w:type="gramEnd"/>
            <w:r>
              <w:rPr>
                <w:rFonts w:ascii="宋体" w:eastAsia="宋体" w:hAnsi="宋体" w:cs="宋体" w:hint="eastAsia"/>
                <w:color w:val="000000"/>
                <w:szCs w:val="21"/>
              </w:rPr>
              <w:t>或经过防爆改造的冰箱，禁止使用无霜型冰箱储存易燃易爆试剂</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heme="minorEastAsia" w:hAnsiTheme="minorEastAsia"/>
                <w:sz w:val="24"/>
                <w:szCs w:val="24"/>
              </w:rPr>
              <w:t>106</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12.5.3</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烘箱与电阻炉管理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不使用有故障、破损的烘箱、电阻炉；烘箱放置位置、高度合适，方便操作</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heme="minorEastAsia" w:hAnsiTheme="minorEastAsia"/>
                <w:sz w:val="24"/>
                <w:szCs w:val="24"/>
              </w:rPr>
            </w:pPr>
            <w:r>
              <w:rPr>
                <w:rFonts w:ascii="Times New Roman" w:hAnsi="Times New Roman" w:cs="Times New Roman"/>
                <w:color w:val="000000"/>
                <w:sz w:val="24"/>
                <w:szCs w:val="24"/>
              </w:rPr>
              <w:t>107</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12.5.6</w:t>
            </w:r>
          </w:p>
        </w:tc>
        <w:tc>
          <w:tcPr>
            <w:tcW w:w="1843"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烘箱与电阻炉管理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使用烘箱、电阻炉等加热设备时有人值守（或10-15分钟检查一次），或有实时监控设施；使用中的烘箱、电阻炉要标识使用人姓名</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r w:rsidR="006D7D66">
        <w:tc>
          <w:tcPr>
            <w:tcW w:w="562" w:type="dxa"/>
            <w:shd w:val="clear" w:color="auto" w:fill="auto"/>
            <w:tcMar>
              <w:left w:w="45" w:type="dxa"/>
              <w:right w:w="45" w:type="dxa"/>
            </w:tcMar>
            <w:vAlign w:val="center"/>
          </w:tcPr>
          <w:p w:rsidR="006D7D66" w:rsidRDefault="00D14D8D">
            <w:pPr>
              <w:spacing w:line="320" w:lineRule="exact"/>
              <w:jc w:val="center"/>
              <w:rPr>
                <w:rFonts w:ascii="Times New Roman" w:hAnsi="Times New Roman" w:cs="Times New Roman"/>
                <w:color w:val="000000"/>
                <w:sz w:val="24"/>
                <w:szCs w:val="24"/>
              </w:rPr>
            </w:pPr>
            <w:r>
              <w:rPr>
                <w:rFonts w:ascii="Times New Roman" w:hAnsi="Times New Roman" w:cs="Times New Roman"/>
                <w:color w:val="000000"/>
                <w:sz w:val="24"/>
                <w:szCs w:val="24"/>
              </w:rPr>
              <w:t>108</w:t>
            </w:r>
          </w:p>
        </w:tc>
        <w:tc>
          <w:tcPr>
            <w:tcW w:w="851" w:type="dxa"/>
            <w:shd w:val="clear" w:color="auto" w:fill="auto"/>
            <w:tcMar>
              <w:left w:w="45" w:type="dxa"/>
              <w:right w:w="45" w:type="dxa"/>
            </w:tcMar>
            <w:vAlign w:val="center"/>
          </w:tcPr>
          <w:p w:rsidR="006D7D66" w:rsidRDefault="00D14D8D">
            <w:pPr>
              <w:spacing w:line="320" w:lineRule="exact"/>
              <w:rPr>
                <w:rFonts w:ascii="Times New Roman" w:hAnsi="Times New Roman" w:cs="Times New Roman"/>
                <w:color w:val="000000"/>
                <w:sz w:val="24"/>
                <w:szCs w:val="24"/>
              </w:rPr>
            </w:pPr>
            <w:r>
              <w:rPr>
                <w:rFonts w:ascii="Times New Roman" w:hAnsi="Times New Roman" w:cs="Times New Roman"/>
                <w:color w:val="000000"/>
                <w:sz w:val="24"/>
                <w:szCs w:val="24"/>
              </w:rPr>
              <w:t>12.6.3</w:t>
            </w:r>
          </w:p>
        </w:tc>
        <w:tc>
          <w:tcPr>
            <w:tcW w:w="1843" w:type="dxa"/>
            <w:shd w:val="clear" w:color="auto" w:fill="auto"/>
            <w:tcMar>
              <w:left w:w="45" w:type="dxa"/>
              <w:right w:w="45" w:type="dxa"/>
            </w:tcMar>
            <w:vAlign w:val="center"/>
          </w:tcPr>
          <w:p w:rsidR="006D7D66" w:rsidRDefault="00D14D8D">
            <w:pPr>
              <w:widowControl/>
              <w:rPr>
                <w:rFonts w:ascii="宋体" w:eastAsia="宋体" w:hAnsi="宋体" w:cs="宋体"/>
                <w:color w:val="000000"/>
                <w:szCs w:val="21"/>
              </w:rPr>
            </w:pPr>
            <w:r>
              <w:rPr>
                <w:rFonts w:ascii="宋体" w:eastAsia="宋体" w:hAnsi="宋体" w:cs="宋体" w:hint="eastAsia"/>
                <w:color w:val="000000"/>
                <w:szCs w:val="21"/>
              </w:rPr>
              <w:t>明火电炉与电吹风等管理</w:t>
            </w:r>
          </w:p>
        </w:tc>
        <w:tc>
          <w:tcPr>
            <w:tcW w:w="5528" w:type="dxa"/>
            <w:shd w:val="clear" w:color="auto" w:fill="auto"/>
            <w:tcMar>
              <w:left w:w="45" w:type="dxa"/>
              <w:right w:w="45" w:type="dxa"/>
            </w:tcMar>
            <w:vAlign w:val="center"/>
          </w:tcPr>
          <w:p w:rsidR="006D7D66" w:rsidRDefault="00D14D8D">
            <w:pPr>
              <w:spacing w:line="320" w:lineRule="exact"/>
              <w:rPr>
                <w:rFonts w:ascii="宋体" w:eastAsia="宋体" w:hAnsi="宋体" w:cs="宋体"/>
                <w:color w:val="000000"/>
                <w:szCs w:val="21"/>
              </w:rPr>
            </w:pPr>
            <w:r>
              <w:rPr>
                <w:rFonts w:ascii="宋体" w:eastAsia="宋体" w:hAnsi="宋体" w:cs="宋体" w:hint="eastAsia"/>
                <w:color w:val="000000"/>
                <w:szCs w:val="21"/>
              </w:rPr>
              <w:t>不使用明火电炉加热易燃易爆试剂</w:t>
            </w:r>
          </w:p>
        </w:tc>
        <w:tc>
          <w:tcPr>
            <w:tcW w:w="709" w:type="dxa"/>
            <w:shd w:val="clear" w:color="auto" w:fill="auto"/>
            <w:tcMar>
              <w:left w:w="45" w:type="dxa"/>
              <w:right w:w="45" w:type="dxa"/>
            </w:tcMar>
            <w:vAlign w:val="center"/>
          </w:tcPr>
          <w:p w:rsidR="006D7D66" w:rsidRDefault="00D14D8D">
            <w:pPr>
              <w:spacing w:line="320" w:lineRule="exact"/>
              <w:jc w:val="center"/>
              <w:rPr>
                <w:sz w:val="24"/>
                <w:szCs w:val="24"/>
              </w:rPr>
            </w:pPr>
            <w:r>
              <w:rPr>
                <w:rFonts w:hint="eastAsia"/>
                <w:sz w:val="24"/>
                <w:szCs w:val="24"/>
              </w:rPr>
              <w:t>*</w:t>
            </w:r>
          </w:p>
        </w:tc>
      </w:tr>
    </w:tbl>
    <w:p w:rsidR="006D7D66" w:rsidRDefault="006D7D66" w:rsidP="00744995">
      <w:pPr>
        <w:spacing w:beforeLines="50" w:line="500" w:lineRule="exact"/>
        <w:rPr>
          <w:rFonts w:ascii="Times New Roman" w:hAnsi="Times New Roman" w:cs="Times New Roman"/>
          <w:color w:val="000000"/>
          <w:sz w:val="24"/>
          <w:szCs w:val="24"/>
        </w:rPr>
      </w:pPr>
    </w:p>
    <w:p w:rsidR="006D7D66" w:rsidRDefault="00D14D8D" w:rsidP="00744995">
      <w:pPr>
        <w:spacing w:beforeLines="50" w:line="500" w:lineRule="exact"/>
        <w:jc w:val="left"/>
        <w:rPr>
          <w:rFonts w:ascii="仿宋" w:eastAsia="仿宋" w:hAnsi="仿宋"/>
          <w:b/>
          <w:sz w:val="28"/>
          <w:szCs w:val="24"/>
        </w:rPr>
      </w:pPr>
      <w:r>
        <w:rPr>
          <w:rFonts w:ascii="仿宋" w:eastAsia="仿宋" w:hAnsi="仿宋" w:hint="eastAsia"/>
          <w:b/>
          <w:sz w:val="28"/>
          <w:szCs w:val="24"/>
        </w:rPr>
        <w:t xml:space="preserve">表2. </w:t>
      </w:r>
    </w:p>
    <w:p w:rsidR="006D7D66" w:rsidRDefault="00D14D8D" w:rsidP="00744995">
      <w:pPr>
        <w:spacing w:beforeLines="50" w:line="500" w:lineRule="exact"/>
        <w:jc w:val="center"/>
        <w:rPr>
          <w:rFonts w:ascii="仿宋" w:eastAsia="仿宋" w:hAnsi="仿宋"/>
          <w:b/>
          <w:sz w:val="28"/>
          <w:szCs w:val="24"/>
        </w:rPr>
      </w:pPr>
      <w:r>
        <w:rPr>
          <w:rFonts w:ascii="仿宋" w:eastAsia="仿宋" w:hAnsi="仿宋" w:hint="eastAsia"/>
          <w:b/>
          <w:sz w:val="28"/>
          <w:szCs w:val="24"/>
        </w:rPr>
        <w:t>发现安全</w:t>
      </w:r>
      <w:r>
        <w:rPr>
          <w:rFonts w:ascii="仿宋" w:eastAsia="仿宋" w:hAnsi="仿宋"/>
          <w:b/>
          <w:sz w:val="28"/>
          <w:szCs w:val="24"/>
        </w:rPr>
        <w:t>隐患指标</w:t>
      </w:r>
      <w:r>
        <w:rPr>
          <w:rFonts w:ascii="仿宋" w:eastAsia="仿宋" w:hAnsi="仿宋" w:hint="eastAsia"/>
          <w:b/>
          <w:sz w:val="28"/>
          <w:szCs w:val="24"/>
        </w:rPr>
        <w:t>条款与</w:t>
      </w:r>
      <w:r>
        <w:rPr>
          <w:rFonts w:ascii="仿宋" w:eastAsia="仿宋" w:hAnsi="仿宋"/>
          <w:b/>
          <w:sz w:val="28"/>
          <w:szCs w:val="24"/>
        </w:rPr>
        <w:t>检查结</w:t>
      </w:r>
      <w:r>
        <w:rPr>
          <w:rFonts w:ascii="仿宋" w:eastAsia="仿宋" w:hAnsi="仿宋" w:hint="eastAsia"/>
          <w:b/>
          <w:sz w:val="28"/>
          <w:szCs w:val="24"/>
        </w:rPr>
        <w:t>果</w:t>
      </w:r>
      <w:r>
        <w:rPr>
          <w:rFonts w:ascii="仿宋" w:eastAsia="仿宋" w:hAnsi="仿宋"/>
          <w:b/>
          <w:sz w:val="28"/>
          <w:szCs w:val="24"/>
        </w:rPr>
        <w:t>的关系</w:t>
      </w:r>
    </w:p>
    <w:tbl>
      <w:tblPr>
        <w:tblStyle w:val="a3"/>
        <w:tblW w:w="8500" w:type="dxa"/>
        <w:jc w:val="center"/>
        <w:tblLayout w:type="fixed"/>
        <w:tblLook w:val="04A0"/>
      </w:tblPr>
      <w:tblGrid>
        <w:gridCol w:w="658"/>
        <w:gridCol w:w="1724"/>
        <w:gridCol w:w="1631"/>
        <w:gridCol w:w="1695"/>
        <w:gridCol w:w="1375"/>
        <w:gridCol w:w="1417"/>
      </w:tblGrid>
      <w:tr w:rsidR="006D7D66">
        <w:trPr>
          <w:trHeight w:val="535"/>
          <w:jc w:val="center"/>
        </w:trPr>
        <w:tc>
          <w:tcPr>
            <w:tcW w:w="658" w:type="dxa"/>
            <w:vAlign w:val="center"/>
          </w:tcPr>
          <w:p w:rsidR="006D7D66" w:rsidRDefault="00D14D8D">
            <w:pPr>
              <w:jc w:val="center"/>
              <w:rPr>
                <w:rFonts w:asciiTheme="minorEastAsia" w:hAnsiTheme="minorEastAsia"/>
                <w:b/>
                <w:sz w:val="24"/>
              </w:rPr>
            </w:pPr>
            <w:r>
              <w:rPr>
                <w:rFonts w:asciiTheme="minorEastAsia" w:hAnsiTheme="minorEastAsia" w:hint="eastAsia"/>
                <w:b/>
                <w:sz w:val="24"/>
              </w:rPr>
              <w:t>序号</w:t>
            </w:r>
          </w:p>
        </w:tc>
        <w:tc>
          <w:tcPr>
            <w:tcW w:w="1724" w:type="dxa"/>
            <w:vAlign w:val="center"/>
          </w:tcPr>
          <w:p w:rsidR="006D7D66" w:rsidRDefault="00D14D8D">
            <w:pPr>
              <w:jc w:val="center"/>
              <w:rPr>
                <w:rFonts w:asciiTheme="minorEastAsia" w:hAnsiTheme="minorEastAsia"/>
                <w:b/>
                <w:sz w:val="24"/>
              </w:rPr>
            </w:pPr>
            <w:r>
              <w:rPr>
                <w:rFonts w:asciiTheme="minorEastAsia" w:hAnsiTheme="minorEastAsia"/>
                <w:b/>
                <w:sz w:val="24"/>
              </w:rPr>
              <w:t>条款</w:t>
            </w:r>
            <w:r>
              <w:rPr>
                <w:rFonts w:asciiTheme="minorEastAsia" w:hAnsiTheme="minorEastAsia" w:hint="eastAsia"/>
                <w:b/>
                <w:sz w:val="24"/>
              </w:rPr>
              <w:t>类别</w:t>
            </w:r>
          </w:p>
        </w:tc>
        <w:tc>
          <w:tcPr>
            <w:tcW w:w="6118" w:type="dxa"/>
            <w:gridSpan w:val="4"/>
            <w:vAlign w:val="center"/>
          </w:tcPr>
          <w:p w:rsidR="006D7D66" w:rsidRDefault="00D14D8D">
            <w:pPr>
              <w:jc w:val="center"/>
              <w:rPr>
                <w:rFonts w:asciiTheme="minorEastAsia" w:hAnsiTheme="minorEastAsia"/>
                <w:b/>
                <w:sz w:val="24"/>
              </w:rPr>
            </w:pPr>
            <w:r>
              <w:rPr>
                <w:rFonts w:asciiTheme="minorEastAsia" w:hAnsiTheme="minorEastAsia" w:hint="eastAsia"/>
                <w:b/>
                <w:sz w:val="24"/>
              </w:rPr>
              <w:t>不符合</w:t>
            </w:r>
            <w:r>
              <w:rPr>
                <w:rFonts w:asciiTheme="minorEastAsia" w:hAnsiTheme="minorEastAsia"/>
                <w:b/>
                <w:sz w:val="24"/>
              </w:rPr>
              <w:t>条款数</w:t>
            </w:r>
          </w:p>
        </w:tc>
      </w:tr>
      <w:tr w:rsidR="006D7D66">
        <w:trPr>
          <w:trHeight w:val="476"/>
          <w:jc w:val="center"/>
        </w:trPr>
        <w:tc>
          <w:tcPr>
            <w:tcW w:w="658" w:type="dxa"/>
            <w:vAlign w:val="center"/>
          </w:tcPr>
          <w:p w:rsidR="006D7D66" w:rsidRDefault="00D14D8D">
            <w:pPr>
              <w:jc w:val="center"/>
              <w:rPr>
                <w:rFonts w:asciiTheme="minorEastAsia" w:hAnsiTheme="minorEastAsia"/>
                <w:sz w:val="24"/>
              </w:rPr>
            </w:pPr>
            <w:r>
              <w:rPr>
                <w:rFonts w:asciiTheme="minorEastAsia" w:hAnsiTheme="minorEastAsia" w:hint="eastAsia"/>
                <w:sz w:val="24"/>
              </w:rPr>
              <w:t>1</w:t>
            </w:r>
          </w:p>
        </w:tc>
        <w:tc>
          <w:tcPr>
            <w:tcW w:w="1724" w:type="dxa"/>
            <w:vAlign w:val="center"/>
          </w:tcPr>
          <w:p w:rsidR="006D7D66" w:rsidRDefault="00D14D8D">
            <w:pPr>
              <w:jc w:val="center"/>
              <w:rPr>
                <w:rFonts w:asciiTheme="minorEastAsia" w:hAnsiTheme="minorEastAsia"/>
                <w:sz w:val="24"/>
              </w:rPr>
            </w:pPr>
            <w:r>
              <w:rPr>
                <w:rFonts w:asciiTheme="minorEastAsia" w:hAnsiTheme="minorEastAsia" w:hint="eastAsia"/>
                <w:sz w:val="24"/>
              </w:rPr>
              <w:t>三星***</w:t>
            </w:r>
          </w:p>
        </w:tc>
        <w:tc>
          <w:tcPr>
            <w:tcW w:w="1631" w:type="dxa"/>
            <w:vAlign w:val="center"/>
          </w:tcPr>
          <w:p w:rsidR="006D7D66" w:rsidRDefault="00D14D8D">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6D7D66" w:rsidRDefault="00D14D8D">
            <w:pPr>
              <w:jc w:val="center"/>
              <w:rPr>
                <w:rFonts w:asciiTheme="minorEastAsia" w:hAnsiTheme="minorEastAsia"/>
                <w:sz w:val="24"/>
              </w:rPr>
            </w:pPr>
            <w:r>
              <w:rPr>
                <w:rFonts w:asciiTheme="minorEastAsia" w:hAnsiTheme="minorEastAsia" w:hint="eastAsia"/>
                <w:sz w:val="24"/>
              </w:rPr>
              <w:t>0</w:t>
            </w:r>
          </w:p>
        </w:tc>
        <w:tc>
          <w:tcPr>
            <w:tcW w:w="1375" w:type="dxa"/>
            <w:vAlign w:val="center"/>
          </w:tcPr>
          <w:p w:rsidR="006D7D66" w:rsidRDefault="00D14D8D">
            <w:pPr>
              <w:jc w:val="center"/>
              <w:rPr>
                <w:rFonts w:asciiTheme="minorEastAsia" w:hAnsiTheme="minorEastAsia"/>
                <w:sz w:val="24"/>
              </w:rPr>
            </w:pPr>
            <w:r>
              <w:rPr>
                <w:rFonts w:asciiTheme="minorEastAsia" w:hAnsiTheme="minorEastAsia" w:hint="eastAsia"/>
                <w:sz w:val="24"/>
              </w:rPr>
              <w:t>0</w:t>
            </w:r>
          </w:p>
        </w:tc>
        <w:tc>
          <w:tcPr>
            <w:tcW w:w="1417" w:type="dxa"/>
            <w:vAlign w:val="center"/>
          </w:tcPr>
          <w:p w:rsidR="006D7D66" w:rsidRDefault="00D14D8D">
            <w:pPr>
              <w:jc w:val="center"/>
              <w:rPr>
                <w:rFonts w:asciiTheme="minorEastAsia" w:hAnsiTheme="minorEastAsia"/>
                <w:sz w:val="24"/>
              </w:rPr>
            </w:pPr>
            <w:r>
              <w:rPr>
                <w:rFonts w:asciiTheme="minorEastAsia" w:hAnsiTheme="minorEastAsia" w:hint="eastAsia"/>
                <w:sz w:val="24"/>
              </w:rPr>
              <w:t>1</w:t>
            </w:r>
          </w:p>
        </w:tc>
      </w:tr>
      <w:tr w:rsidR="006D7D66">
        <w:trPr>
          <w:trHeight w:val="413"/>
          <w:jc w:val="center"/>
        </w:trPr>
        <w:tc>
          <w:tcPr>
            <w:tcW w:w="658" w:type="dxa"/>
            <w:vAlign w:val="center"/>
          </w:tcPr>
          <w:p w:rsidR="006D7D66" w:rsidRDefault="00D14D8D">
            <w:pPr>
              <w:jc w:val="center"/>
              <w:rPr>
                <w:rFonts w:asciiTheme="minorEastAsia" w:hAnsiTheme="minorEastAsia"/>
                <w:sz w:val="24"/>
              </w:rPr>
            </w:pPr>
            <w:r>
              <w:rPr>
                <w:rFonts w:asciiTheme="minorEastAsia" w:hAnsiTheme="minorEastAsia" w:hint="eastAsia"/>
                <w:sz w:val="24"/>
              </w:rPr>
              <w:t>2</w:t>
            </w:r>
          </w:p>
        </w:tc>
        <w:tc>
          <w:tcPr>
            <w:tcW w:w="1724" w:type="dxa"/>
            <w:vAlign w:val="center"/>
          </w:tcPr>
          <w:p w:rsidR="006D7D66" w:rsidRDefault="00D14D8D">
            <w:pPr>
              <w:jc w:val="center"/>
              <w:rPr>
                <w:rFonts w:asciiTheme="minorEastAsia" w:hAnsiTheme="minorEastAsia"/>
                <w:sz w:val="24"/>
              </w:rPr>
            </w:pPr>
            <w:r>
              <w:rPr>
                <w:rFonts w:asciiTheme="minorEastAsia" w:hAnsiTheme="minorEastAsia" w:hint="eastAsia"/>
                <w:sz w:val="24"/>
              </w:rPr>
              <w:t>二星**</w:t>
            </w:r>
          </w:p>
        </w:tc>
        <w:tc>
          <w:tcPr>
            <w:tcW w:w="1631" w:type="dxa"/>
            <w:vAlign w:val="center"/>
          </w:tcPr>
          <w:p w:rsidR="006D7D66" w:rsidRDefault="00D14D8D">
            <w:pPr>
              <w:jc w:val="center"/>
              <w:rPr>
                <w:rFonts w:asciiTheme="minorEastAsia" w:hAnsiTheme="minorEastAsia"/>
                <w:sz w:val="24"/>
              </w:rPr>
            </w:pPr>
            <w:r>
              <w:rPr>
                <w:rFonts w:asciiTheme="minorEastAsia" w:hAnsiTheme="minorEastAsia" w:hint="eastAsia"/>
                <w:sz w:val="24"/>
              </w:rPr>
              <w:t>0</w:t>
            </w:r>
          </w:p>
        </w:tc>
        <w:tc>
          <w:tcPr>
            <w:tcW w:w="1695" w:type="dxa"/>
            <w:vAlign w:val="center"/>
          </w:tcPr>
          <w:p w:rsidR="006D7D66" w:rsidRDefault="00D14D8D">
            <w:pPr>
              <w:jc w:val="center"/>
              <w:rPr>
                <w:rFonts w:asciiTheme="minorEastAsia" w:hAnsiTheme="minorEastAsia"/>
                <w:sz w:val="24"/>
              </w:rPr>
            </w:pPr>
            <w:r>
              <w:rPr>
                <w:rFonts w:asciiTheme="minorEastAsia" w:hAnsiTheme="minorEastAsia"/>
                <w:sz w:val="24"/>
              </w:rPr>
              <w:t>1-</w:t>
            </w:r>
            <w:r>
              <w:rPr>
                <w:rFonts w:asciiTheme="minorEastAsia" w:hAnsiTheme="minorEastAsia" w:hint="eastAsia"/>
                <w:sz w:val="24"/>
              </w:rPr>
              <w:t>7</w:t>
            </w:r>
          </w:p>
        </w:tc>
        <w:tc>
          <w:tcPr>
            <w:tcW w:w="1375" w:type="dxa"/>
            <w:vAlign w:val="center"/>
          </w:tcPr>
          <w:p w:rsidR="006D7D66" w:rsidRDefault="00D14D8D">
            <w:pPr>
              <w:jc w:val="center"/>
              <w:rPr>
                <w:rFonts w:asciiTheme="minorEastAsia" w:hAnsiTheme="minorEastAsia"/>
                <w:sz w:val="24"/>
              </w:rPr>
            </w:pPr>
            <w:r>
              <w:rPr>
                <w:rFonts w:asciiTheme="minorEastAsia" w:hAnsiTheme="minorEastAsia" w:hint="eastAsia"/>
                <w:sz w:val="24"/>
              </w:rPr>
              <w:t>8</w:t>
            </w:r>
            <w:r>
              <w:rPr>
                <w:rFonts w:asciiTheme="minorEastAsia" w:hAnsiTheme="minorEastAsia"/>
                <w:sz w:val="24"/>
              </w:rPr>
              <w:t>-</w:t>
            </w:r>
            <w:r>
              <w:rPr>
                <w:rFonts w:asciiTheme="minorEastAsia" w:hAnsiTheme="minorEastAsia" w:hint="eastAsia"/>
                <w:sz w:val="24"/>
              </w:rPr>
              <w:t>14</w:t>
            </w:r>
          </w:p>
        </w:tc>
        <w:tc>
          <w:tcPr>
            <w:tcW w:w="1417" w:type="dxa"/>
            <w:vAlign w:val="center"/>
          </w:tcPr>
          <w:p w:rsidR="006D7D66" w:rsidRDefault="00D14D8D">
            <w:pPr>
              <w:jc w:val="center"/>
              <w:rPr>
                <w:rFonts w:asciiTheme="minorEastAsia" w:hAnsiTheme="minorEastAsia"/>
                <w:sz w:val="24"/>
              </w:rPr>
            </w:pPr>
            <w:r>
              <w:rPr>
                <w:rFonts w:asciiTheme="minorEastAsia" w:hAnsiTheme="minorEastAsia" w:hint="eastAsia"/>
                <w:sz w:val="24"/>
              </w:rPr>
              <w:t>≥15</w:t>
            </w:r>
          </w:p>
        </w:tc>
      </w:tr>
      <w:tr w:rsidR="006D7D66">
        <w:trPr>
          <w:trHeight w:val="419"/>
          <w:jc w:val="center"/>
        </w:trPr>
        <w:tc>
          <w:tcPr>
            <w:tcW w:w="658" w:type="dxa"/>
            <w:vAlign w:val="center"/>
          </w:tcPr>
          <w:p w:rsidR="006D7D66" w:rsidRDefault="00D14D8D">
            <w:pPr>
              <w:jc w:val="center"/>
              <w:rPr>
                <w:rFonts w:asciiTheme="minorEastAsia" w:hAnsiTheme="minorEastAsia"/>
                <w:sz w:val="24"/>
              </w:rPr>
            </w:pPr>
            <w:r>
              <w:rPr>
                <w:rFonts w:asciiTheme="minorEastAsia" w:hAnsiTheme="minorEastAsia" w:hint="eastAsia"/>
                <w:sz w:val="24"/>
              </w:rPr>
              <w:t>3</w:t>
            </w:r>
          </w:p>
        </w:tc>
        <w:tc>
          <w:tcPr>
            <w:tcW w:w="1724" w:type="dxa"/>
            <w:vAlign w:val="center"/>
          </w:tcPr>
          <w:p w:rsidR="006D7D66" w:rsidRDefault="00D14D8D">
            <w:pPr>
              <w:jc w:val="center"/>
              <w:rPr>
                <w:rFonts w:asciiTheme="minorEastAsia" w:hAnsiTheme="minorEastAsia"/>
                <w:sz w:val="24"/>
              </w:rPr>
            </w:pPr>
            <w:r>
              <w:rPr>
                <w:rFonts w:asciiTheme="minorEastAsia" w:hAnsiTheme="minorEastAsia" w:hint="eastAsia"/>
                <w:sz w:val="24"/>
              </w:rPr>
              <w:t>一星*</w:t>
            </w:r>
          </w:p>
        </w:tc>
        <w:tc>
          <w:tcPr>
            <w:tcW w:w="1631" w:type="dxa"/>
            <w:vAlign w:val="center"/>
          </w:tcPr>
          <w:p w:rsidR="006D7D66" w:rsidRDefault="00D14D8D">
            <w:pPr>
              <w:jc w:val="center"/>
              <w:rPr>
                <w:rFonts w:asciiTheme="minorEastAsia" w:hAnsiTheme="minorEastAsia"/>
                <w:sz w:val="24"/>
              </w:rPr>
            </w:pPr>
            <w:r>
              <w:rPr>
                <w:rFonts w:asciiTheme="minorEastAsia" w:hAnsiTheme="minorEastAsia" w:hint="eastAsia"/>
                <w:sz w:val="24"/>
              </w:rPr>
              <w:t>2</w:t>
            </w:r>
          </w:p>
        </w:tc>
        <w:tc>
          <w:tcPr>
            <w:tcW w:w="1695" w:type="dxa"/>
            <w:vAlign w:val="center"/>
          </w:tcPr>
          <w:p w:rsidR="006D7D66" w:rsidRDefault="00D14D8D">
            <w:pPr>
              <w:jc w:val="center"/>
              <w:rPr>
                <w:rFonts w:asciiTheme="minorEastAsia" w:hAnsiTheme="minorEastAsia"/>
                <w:sz w:val="24"/>
              </w:rPr>
            </w:pPr>
            <w:r>
              <w:rPr>
                <w:rFonts w:asciiTheme="minorEastAsia" w:hAnsiTheme="minorEastAsia" w:hint="eastAsia"/>
                <w:sz w:val="24"/>
              </w:rPr>
              <w:t>3</w:t>
            </w:r>
            <w:r>
              <w:rPr>
                <w:rFonts w:asciiTheme="minorEastAsia" w:hAnsiTheme="minorEastAsia"/>
                <w:sz w:val="24"/>
              </w:rPr>
              <w:t>-15</w:t>
            </w:r>
          </w:p>
        </w:tc>
        <w:tc>
          <w:tcPr>
            <w:tcW w:w="1375" w:type="dxa"/>
            <w:vAlign w:val="center"/>
          </w:tcPr>
          <w:p w:rsidR="006D7D66" w:rsidRDefault="00D14D8D">
            <w:pPr>
              <w:jc w:val="center"/>
              <w:rPr>
                <w:rFonts w:asciiTheme="minorEastAsia" w:hAnsiTheme="minorEastAsia"/>
                <w:sz w:val="24"/>
              </w:rPr>
            </w:pPr>
            <w:r>
              <w:rPr>
                <w:rFonts w:asciiTheme="minorEastAsia" w:hAnsiTheme="minorEastAsia"/>
                <w:sz w:val="24"/>
              </w:rPr>
              <w:t>16-25</w:t>
            </w:r>
          </w:p>
        </w:tc>
        <w:tc>
          <w:tcPr>
            <w:tcW w:w="1417" w:type="dxa"/>
            <w:vAlign w:val="center"/>
          </w:tcPr>
          <w:p w:rsidR="006D7D66" w:rsidRDefault="00D14D8D">
            <w:pPr>
              <w:jc w:val="center"/>
              <w:rPr>
                <w:rFonts w:asciiTheme="minorEastAsia" w:hAnsiTheme="minorEastAsia"/>
                <w:sz w:val="24"/>
              </w:rPr>
            </w:pPr>
            <w:r>
              <w:rPr>
                <w:rFonts w:asciiTheme="minorEastAsia" w:hAnsiTheme="minorEastAsia" w:hint="eastAsia"/>
                <w:sz w:val="24"/>
              </w:rPr>
              <w:t>≥26</w:t>
            </w:r>
          </w:p>
        </w:tc>
      </w:tr>
      <w:tr w:rsidR="006D7D66">
        <w:trPr>
          <w:trHeight w:val="419"/>
          <w:jc w:val="center"/>
        </w:trPr>
        <w:tc>
          <w:tcPr>
            <w:tcW w:w="658" w:type="dxa"/>
            <w:vAlign w:val="center"/>
          </w:tcPr>
          <w:p w:rsidR="006D7D66" w:rsidRDefault="00D14D8D">
            <w:pPr>
              <w:jc w:val="center"/>
              <w:rPr>
                <w:rFonts w:asciiTheme="minorEastAsia" w:hAnsiTheme="minorEastAsia"/>
                <w:sz w:val="24"/>
              </w:rPr>
            </w:pPr>
            <w:r>
              <w:rPr>
                <w:rFonts w:asciiTheme="minorEastAsia" w:hAnsiTheme="minorEastAsia" w:hint="eastAsia"/>
                <w:sz w:val="24"/>
              </w:rPr>
              <w:t>4</w:t>
            </w:r>
          </w:p>
        </w:tc>
        <w:tc>
          <w:tcPr>
            <w:tcW w:w="1724" w:type="dxa"/>
            <w:vAlign w:val="center"/>
          </w:tcPr>
          <w:p w:rsidR="006D7D66" w:rsidRDefault="00D14D8D">
            <w:pPr>
              <w:jc w:val="center"/>
              <w:rPr>
                <w:rFonts w:asciiTheme="minorEastAsia" w:hAnsiTheme="minorEastAsia"/>
                <w:sz w:val="24"/>
              </w:rPr>
            </w:pPr>
            <w:r>
              <w:rPr>
                <w:rFonts w:asciiTheme="minorEastAsia" w:hAnsiTheme="minorEastAsia" w:hint="eastAsia"/>
                <w:sz w:val="24"/>
              </w:rPr>
              <w:t>所有条款数</w:t>
            </w:r>
          </w:p>
        </w:tc>
        <w:tc>
          <w:tcPr>
            <w:tcW w:w="1631" w:type="dxa"/>
            <w:vAlign w:val="center"/>
          </w:tcPr>
          <w:p w:rsidR="006D7D66" w:rsidRDefault="00D14D8D">
            <w:pPr>
              <w:jc w:val="center"/>
              <w:rPr>
                <w:rFonts w:asciiTheme="minorEastAsia" w:hAnsiTheme="minorEastAsia"/>
                <w:sz w:val="24"/>
              </w:rPr>
            </w:pPr>
            <w:r>
              <w:rPr>
                <w:rFonts w:asciiTheme="minorEastAsia" w:hAnsiTheme="minorEastAsia" w:hint="eastAsia"/>
                <w:sz w:val="24"/>
              </w:rPr>
              <w:t>8</w:t>
            </w:r>
          </w:p>
        </w:tc>
        <w:tc>
          <w:tcPr>
            <w:tcW w:w="1695" w:type="dxa"/>
            <w:vAlign w:val="center"/>
          </w:tcPr>
          <w:p w:rsidR="006D7D66" w:rsidRDefault="00D14D8D">
            <w:pPr>
              <w:jc w:val="center"/>
              <w:rPr>
                <w:rFonts w:asciiTheme="minorEastAsia" w:hAnsiTheme="minorEastAsia"/>
                <w:sz w:val="24"/>
              </w:rPr>
            </w:pPr>
            <w:r>
              <w:rPr>
                <w:rFonts w:asciiTheme="minorEastAsia" w:hAnsiTheme="minorEastAsia" w:hint="eastAsia"/>
                <w:sz w:val="24"/>
              </w:rPr>
              <w:t>9-</w:t>
            </w:r>
            <w:r>
              <w:rPr>
                <w:rFonts w:asciiTheme="minorEastAsia" w:hAnsiTheme="minorEastAsia"/>
                <w:sz w:val="24"/>
              </w:rPr>
              <w:t>30</w:t>
            </w:r>
          </w:p>
        </w:tc>
        <w:tc>
          <w:tcPr>
            <w:tcW w:w="1375" w:type="dxa"/>
            <w:vAlign w:val="center"/>
          </w:tcPr>
          <w:p w:rsidR="006D7D66" w:rsidRDefault="00D14D8D">
            <w:pPr>
              <w:jc w:val="center"/>
              <w:rPr>
                <w:rFonts w:asciiTheme="minorEastAsia" w:hAnsiTheme="minorEastAsia"/>
                <w:sz w:val="24"/>
              </w:rPr>
            </w:pPr>
            <w:r>
              <w:rPr>
                <w:rFonts w:asciiTheme="minorEastAsia" w:hAnsiTheme="minorEastAsia"/>
                <w:sz w:val="24"/>
              </w:rPr>
              <w:t>31</w:t>
            </w:r>
            <w:r>
              <w:rPr>
                <w:rFonts w:asciiTheme="minorEastAsia" w:hAnsiTheme="minorEastAsia" w:hint="eastAsia"/>
                <w:sz w:val="24"/>
              </w:rPr>
              <w:t>-40</w:t>
            </w:r>
          </w:p>
        </w:tc>
        <w:tc>
          <w:tcPr>
            <w:tcW w:w="1417" w:type="dxa"/>
            <w:vAlign w:val="center"/>
          </w:tcPr>
          <w:p w:rsidR="006D7D66" w:rsidRDefault="00D14D8D">
            <w:pPr>
              <w:jc w:val="center"/>
              <w:rPr>
                <w:rFonts w:asciiTheme="minorEastAsia" w:hAnsiTheme="minorEastAsia"/>
                <w:sz w:val="24"/>
              </w:rPr>
            </w:pPr>
            <w:r>
              <w:rPr>
                <w:rFonts w:asciiTheme="minorEastAsia" w:hAnsiTheme="minorEastAsia" w:hint="eastAsia"/>
                <w:sz w:val="24"/>
              </w:rPr>
              <w:t>≥41</w:t>
            </w:r>
          </w:p>
        </w:tc>
      </w:tr>
      <w:tr w:rsidR="006D7D66">
        <w:trPr>
          <w:trHeight w:val="419"/>
          <w:jc w:val="center"/>
        </w:trPr>
        <w:tc>
          <w:tcPr>
            <w:tcW w:w="658" w:type="dxa"/>
            <w:vAlign w:val="center"/>
          </w:tcPr>
          <w:p w:rsidR="006D7D66" w:rsidRDefault="006D7D66">
            <w:pPr>
              <w:jc w:val="center"/>
              <w:rPr>
                <w:rFonts w:asciiTheme="minorEastAsia" w:hAnsiTheme="minorEastAsia"/>
                <w:b/>
                <w:sz w:val="24"/>
              </w:rPr>
            </w:pPr>
          </w:p>
        </w:tc>
        <w:tc>
          <w:tcPr>
            <w:tcW w:w="1724" w:type="dxa"/>
            <w:vAlign w:val="center"/>
          </w:tcPr>
          <w:p w:rsidR="006D7D66" w:rsidRDefault="00D14D8D">
            <w:pPr>
              <w:jc w:val="center"/>
              <w:rPr>
                <w:rFonts w:asciiTheme="minorEastAsia" w:hAnsiTheme="minorEastAsia"/>
                <w:sz w:val="24"/>
              </w:rPr>
            </w:pPr>
            <w:r>
              <w:rPr>
                <w:rFonts w:asciiTheme="minorEastAsia" w:hAnsiTheme="minorEastAsia" w:hint="eastAsia"/>
                <w:b/>
                <w:sz w:val="24"/>
              </w:rPr>
              <w:t>检查结果</w:t>
            </w:r>
          </w:p>
        </w:tc>
        <w:tc>
          <w:tcPr>
            <w:tcW w:w="1631" w:type="dxa"/>
            <w:vAlign w:val="center"/>
          </w:tcPr>
          <w:p w:rsidR="006D7D66" w:rsidRDefault="00D14D8D">
            <w:pPr>
              <w:jc w:val="center"/>
              <w:rPr>
                <w:rFonts w:asciiTheme="minorEastAsia" w:hAnsiTheme="minorEastAsia"/>
                <w:b/>
                <w:sz w:val="24"/>
              </w:rPr>
            </w:pPr>
            <w:r>
              <w:rPr>
                <w:rFonts w:asciiTheme="minorEastAsia" w:hAnsiTheme="minorEastAsia" w:hint="eastAsia"/>
                <w:b/>
                <w:sz w:val="24"/>
              </w:rPr>
              <w:t>A</w:t>
            </w:r>
          </w:p>
        </w:tc>
        <w:tc>
          <w:tcPr>
            <w:tcW w:w="1695" w:type="dxa"/>
            <w:vAlign w:val="center"/>
          </w:tcPr>
          <w:p w:rsidR="006D7D66" w:rsidRDefault="00D14D8D">
            <w:pPr>
              <w:jc w:val="center"/>
              <w:rPr>
                <w:rFonts w:asciiTheme="minorEastAsia" w:hAnsiTheme="minorEastAsia"/>
                <w:b/>
                <w:sz w:val="24"/>
              </w:rPr>
            </w:pPr>
            <w:r>
              <w:rPr>
                <w:rFonts w:asciiTheme="minorEastAsia" w:hAnsiTheme="minorEastAsia" w:hint="eastAsia"/>
                <w:b/>
                <w:sz w:val="24"/>
              </w:rPr>
              <w:t>B</w:t>
            </w:r>
          </w:p>
        </w:tc>
        <w:tc>
          <w:tcPr>
            <w:tcW w:w="1375" w:type="dxa"/>
            <w:vAlign w:val="center"/>
          </w:tcPr>
          <w:p w:rsidR="006D7D66" w:rsidRDefault="00D14D8D">
            <w:pPr>
              <w:jc w:val="center"/>
              <w:rPr>
                <w:rFonts w:asciiTheme="minorEastAsia" w:hAnsiTheme="minorEastAsia"/>
                <w:b/>
                <w:sz w:val="24"/>
              </w:rPr>
            </w:pPr>
            <w:r>
              <w:rPr>
                <w:rFonts w:asciiTheme="minorEastAsia" w:hAnsiTheme="minorEastAsia" w:hint="eastAsia"/>
                <w:b/>
                <w:sz w:val="24"/>
              </w:rPr>
              <w:t>C</w:t>
            </w:r>
          </w:p>
        </w:tc>
        <w:tc>
          <w:tcPr>
            <w:tcW w:w="1417" w:type="dxa"/>
            <w:vAlign w:val="center"/>
          </w:tcPr>
          <w:p w:rsidR="006D7D66" w:rsidRDefault="00D14D8D">
            <w:pPr>
              <w:jc w:val="center"/>
              <w:rPr>
                <w:rFonts w:asciiTheme="minorEastAsia" w:hAnsiTheme="minorEastAsia"/>
                <w:b/>
                <w:sz w:val="24"/>
              </w:rPr>
            </w:pPr>
            <w:r>
              <w:rPr>
                <w:rFonts w:asciiTheme="minorEastAsia" w:hAnsiTheme="minorEastAsia" w:hint="eastAsia"/>
                <w:b/>
                <w:sz w:val="24"/>
              </w:rPr>
              <w:t>D</w:t>
            </w:r>
          </w:p>
        </w:tc>
      </w:tr>
    </w:tbl>
    <w:p w:rsidR="006D7D66" w:rsidRDefault="00D14D8D">
      <w:pPr>
        <w:spacing w:line="440" w:lineRule="exact"/>
        <w:ind w:firstLineChars="100" w:firstLine="240"/>
        <w:rPr>
          <w:rFonts w:ascii="仿宋" w:eastAsia="仿宋" w:hAnsi="仿宋"/>
          <w:sz w:val="24"/>
          <w:szCs w:val="24"/>
        </w:rPr>
      </w:pPr>
      <w:r>
        <w:rPr>
          <w:rFonts w:ascii="仿宋" w:eastAsia="仿宋" w:hAnsi="仿宋" w:hint="eastAsia"/>
          <w:sz w:val="24"/>
          <w:szCs w:val="24"/>
        </w:rPr>
        <w:t>注1.以上</w:t>
      </w:r>
      <w:r>
        <w:rPr>
          <w:rFonts w:ascii="仿宋" w:eastAsia="仿宋" w:hAnsi="仿宋"/>
          <w:sz w:val="24"/>
          <w:szCs w:val="24"/>
        </w:rPr>
        <w:t>判别</w:t>
      </w:r>
      <w:r>
        <w:rPr>
          <w:rFonts w:ascii="仿宋" w:eastAsia="仿宋" w:hAnsi="仿宋" w:hint="eastAsia"/>
          <w:sz w:val="24"/>
          <w:szCs w:val="24"/>
        </w:rPr>
        <w:t>条款数</w:t>
      </w:r>
      <w:r>
        <w:rPr>
          <w:rFonts w:ascii="仿宋" w:eastAsia="仿宋" w:hAnsi="仿宋"/>
          <w:sz w:val="24"/>
          <w:szCs w:val="24"/>
        </w:rPr>
        <w:t>，是并列的，只要符合</w:t>
      </w:r>
      <w:r>
        <w:rPr>
          <w:rFonts w:ascii="仿宋" w:eastAsia="仿宋" w:hAnsi="仿宋" w:hint="eastAsia"/>
          <w:sz w:val="24"/>
          <w:szCs w:val="24"/>
        </w:rPr>
        <w:t>1条</w:t>
      </w:r>
      <w:r>
        <w:rPr>
          <w:rFonts w:ascii="仿宋" w:eastAsia="仿宋" w:hAnsi="仿宋"/>
          <w:sz w:val="24"/>
          <w:szCs w:val="24"/>
        </w:rPr>
        <w:t>即可</w:t>
      </w:r>
      <w:r>
        <w:rPr>
          <w:rFonts w:ascii="仿宋" w:eastAsia="仿宋" w:hAnsi="仿宋" w:hint="eastAsia"/>
          <w:sz w:val="24"/>
          <w:szCs w:val="24"/>
        </w:rPr>
        <w:t>判</w:t>
      </w:r>
      <w:r>
        <w:rPr>
          <w:rFonts w:ascii="仿宋" w:eastAsia="仿宋" w:hAnsi="仿宋"/>
          <w:sz w:val="24"/>
          <w:szCs w:val="24"/>
        </w:rPr>
        <w:t>为相应的</w:t>
      </w:r>
      <w:r>
        <w:rPr>
          <w:rFonts w:ascii="仿宋" w:eastAsia="仿宋" w:hAnsi="仿宋" w:hint="eastAsia"/>
          <w:sz w:val="24"/>
          <w:szCs w:val="24"/>
        </w:rPr>
        <w:t>等级</w:t>
      </w:r>
      <w:r>
        <w:rPr>
          <w:rFonts w:ascii="仿宋" w:eastAsia="仿宋" w:hAnsi="仿宋"/>
          <w:sz w:val="24"/>
          <w:szCs w:val="24"/>
        </w:rPr>
        <w:t>。</w:t>
      </w:r>
    </w:p>
    <w:p w:rsidR="006D7D66" w:rsidRDefault="00D14D8D">
      <w:pPr>
        <w:spacing w:line="440" w:lineRule="exact"/>
        <w:ind w:firstLineChars="100" w:firstLine="240"/>
        <w:rPr>
          <w:rFonts w:ascii="仿宋" w:eastAsia="仿宋" w:hAnsi="仿宋"/>
          <w:sz w:val="24"/>
          <w:szCs w:val="24"/>
        </w:rPr>
      </w:pPr>
      <w:r>
        <w:rPr>
          <w:rFonts w:ascii="仿宋" w:eastAsia="仿宋" w:hAnsi="仿宋" w:hint="eastAsia"/>
          <w:sz w:val="24"/>
          <w:szCs w:val="24"/>
        </w:rPr>
        <w:t>注2.凡是</w:t>
      </w:r>
      <w:r>
        <w:rPr>
          <w:rFonts w:ascii="仿宋" w:eastAsia="仿宋" w:hAnsi="仿宋"/>
          <w:sz w:val="24"/>
          <w:szCs w:val="24"/>
        </w:rPr>
        <w:t>有不符合条款</w:t>
      </w:r>
      <w:r>
        <w:rPr>
          <w:rFonts w:ascii="仿宋" w:eastAsia="仿宋" w:hAnsi="仿宋" w:hint="eastAsia"/>
          <w:sz w:val="24"/>
          <w:szCs w:val="24"/>
        </w:rPr>
        <w:t>而</w:t>
      </w:r>
      <w:r>
        <w:rPr>
          <w:rFonts w:ascii="仿宋" w:eastAsia="仿宋" w:hAnsi="仿宋"/>
          <w:sz w:val="24"/>
          <w:szCs w:val="24"/>
        </w:rPr>
        <w:t>结果为</w:t>
      </w:r>
      <w:r>
        <w:rPr>
          <w:rFonts w:ascii="仿宋" w:eastAsia="仿宋" w:hAnsi="仿宋" w:hint="eastAsia"/>
          <w:sz w:val="24"/>
          <w:szCs w:val="24"/>
        </w:rPr>
        <w:t>A级（通过）者</w:t>
      </w:r>
      <w:r>
        <w:rPr>
          <w:rFonts w:ascii="仿宋" w:eastAsia="仿宋" w:hAnsi="仿宋"/>
          <w:sz w:val="24"/>
          <w:szCs w:val="24"/>
        </w:rPr>
        <w:t>，</w:t>
      </w:r>
      <w:r>
        <w:rPr>
          <w:rFonts w:ascii="仿宋" w:eastAsia="仿宋" w:hAnsi="仿宋" w:hint="eastAsia"/>
          <w:sz w:val="24"/>
          <w:szCs w:val="24"/>
        </w:rPr>
        <w:t>仍需按</w:t>
      </w:r>
      <w:r>
        <w:rPr>
          <w:rFonts w:ascii="仿宋" w:eastAsia="仿宋" w:hAnsi="仿宋"/>
          <w:sz w:val="24"/>
          <w:szCs w:val="24"/>
        </w:rPr>
        <w:t>规则上报《</w:t>
      </w:r>
      <w:r>
        <w:rPr>
          <w:rFonts w:ascii="仿宋" w:eastAsia="仿宋" w:hAnsi="仿宋" w:hint="eastAsia"/>
          <w:sz w:val="24"/>
          <w:szCs w:val="24"/>
        </w:rPr>
        <w:t>整改</w:t>
      </w:r>
      <w:r>
        <w:rPr>
          <w:rFonts w:ascii="仿宋" w:eastAsia="仿宋" w:hAnsi="仿宋"/>
          <w:sz w:val="24"/>
          <w:szCs w:val="24"/>
        </w:rPr>
        <w:t>报告》</w:t>
      </w:r>
      <w:r>
        <w:rPr>
          <w:rFonts w:ascii="仿宋" w:eastAsia="仿宋" w:hAnsi="仿宋" w:hint="eastAsia"/>
          <w:sz w:val="24"/>
          <w:szCs w:val="24"/>
        </w:rPr>
        <w:t>。</w:t>
      </w:r>
    </w:p>
    <w:p w:rsidR="006D7D66" w:rsidRDefault="00D14D8D">
      <w:pPr>
        <w:spacing w:line="440" w:lineRule="exact"/>
        <w:ind w:firstLineChars="100" w:firstLine="240"/>
        <w:rPr>
          <w:rFonts w:ascii="仿宋" w:eastAsia="仿宋" w:hAnsi="仿宋"/>
          <w:sz w:val="24"/>
          <w:szCs w:val="24"/>
        </w:rPr>
      </w:pPr>
      <w:r>
        <w:rPr>
          <w:rFonts w:ascii="仿宋" w:eastAsia="仿宋" w:hAnsi="仿宋" w:hint="eastAsia"/>
          <w:sz w:val="24"/>
          <w:szCs w:val="24"/>
        </w:rPr>
        <w:t>注3.对于C级</w:t>
      </w:r>
      <w:r>
        <w:rPr>
          <w:rFonts w:ascii="仿宋" w:eastAsia="仿宋" w:hAnsi="仿宋"/>
          <w:sz w:val="24"/>
          <w:szCs w:val="24"/>
        </w:rPr>
        <w:t>，现场复查可</w:t>
      </w:r>
      <w:r>
        <w:rPr>
          <w:rFonts w:ascii="仿宋" w:eastAsia="仿宋" w:hAnsi="仿宋" w:hint="eastAsia"/>
          <w:sz w:val="24"/>
          <w:szCs w:val="24"/>
        </w:rPr>
        <w:t>由</w:t>
      </w:r>
      <w:r>
        <w:rPr>
          <w:rFonts w:ascii="仿宋" w:eastAsia="仿宋" w:hAnsi="仿宋"/>
          <w:sz w:val="24"/>
          <w:szCs w:val="24"/>
        </w:rPr>
        <w:t>组长或委派1名本组</w:t>
      </w:r>
      <w:proofErr w:type="gramStart"/>
      <w:r>
        <w:rPr>
          <w:rFonts w:ascii="仿宋" w:eastAsia="仿宋" w:hAnsi="仿宋"/>
          <w:sz w:val="24"/>
          <w:szCs w:val="24"/>
        </w:rPr>
        <w:t>成员</w:t>
      </w:r>
      <w:r>
        <w:rPr>
          <w:rFonts w:ascii="仿宋" w:eastAsia="仿宋" w:hAnsi="仿宋" w:hint="eastAsia"/>
          <w:sz w:val="24"/>
          <w:szCs w:val="24"/>
        </w:rPr>
        <w:t>赴</w:t>
      </w:r>
      <w:r>
        <w:rPr>
          <w:rFonts w:ascii="仿宋" w:eastAsia="仿宋" w:hAnsi="仿宋"/>
          <w:sz w:val="24"/>
          <w:szCs w:val="24"/>
        </w:rPr>
        <w:t>被检查</w:t>
      </w:r>
      <w:proofErr w:type="gramEnd"/>
      <w:r>
        <w:rPr>
          <w:rFonts w:ascii="仿宋" w:eastAsia="仿宋" w:hAnsi="仿宋"/>
          <w:sz w:val="24"/>
          <w:szCs w:val="24"/>
        </w:rPr>
        <w:t>高校完成。</w:t>
      </w:r>
    </w:p>
    <w:p w:rsidR="006D7D66" w:rsidRDefault="00D14D8D">
      <w:pPr>
        <w:spacing w:line="440" w:lineRule="exact"/>
        <w:ind w:firstLineChars="100" w:firstLine="240"/>
        <w:rPr>
          <w:rFonts w:ascii="仿宋" w:eastAsia="仿宋" w:hAnsi="仿宋"/>
          <w:sz w:val="24"/>
          <w:szCs w:val="24"/>
        </w:rPr>
      </w:pPr>
      <w:r>
        <w:rPr>
          <w:rFonts w:ascii="仿宋" w:eastAsia="仿宋" w:hAnsi="仿宋" w:hint="eastAsia"/>
          <w:sz w:val="24"/>
          <w:szCs w:val="24"/>
        </w:rPr>
        <w:t>注4.检查</w:t>
      </w:r>
      <w:r>
        <w:rPr>
          <w:rFonts w:ascii="仿宋" w:eastAsia="仿宋" w:hAnsi="仿宋"/>
          <w:sz w:val="24"/>
          <w:szCs w:val="24"/>
        </w:rPr>
        <w:t>结果将予以通报。</w:t>
      </w:r>
      <w:r>
        <w:rPr>
          <w:rFonts w:ascii="仿宋" w:eastAsia="仿宋" w:hAnsi="仿宋" w:hint="eastAsia"/>
          <w:sz w:val="24"/>
          <w:szCs w:val="24"/>
        </w:rPr>
        <w:t>对于D级</w:t>
      </w:r>
      <w:r>
        <w:rPr>
          <w:rFonts w:ascii="仿宋" w:eastAsia="仿宋" w:hAnsi="仿宋"/>
          <w:sz w:val="24"/>
          <w:szCs w:val="24"/>
        </w:rPr>
        <w:t>，</w:t>
      </w:r>
      <w:r>
        <w:rPr>
          <w:rFonts w:ascii="仿宋" w:eastAsia="仿宋" w:hAnsi="仿宋" w:hint="eastAsia"/>
          <w:sz w:val="24"/>
          <w:szCs w:val="24"/>
        </w:rPr>
        <w:t>限期2个月</w:t>
      </w:r>
      <w:r>
        <w:rPr>
          <w:rFonts w:ascii="仿宋" w:eastAsia="仿宋" w:hAnsi="仿宋"/>
          <w:sz w:val="24"/>
          <w:szCs w:val="24"/>
        </w:rPr>
        <w:t>整改，检查组再次进校。</w:t>
      </w:r>
    </w:p>
    <w:p w:rsidR="006D7D66" w:rsidRDefault="00D14D8D">
      <w:pPr>
        <w:spacing w:line="440" w:lineRule="exact"/>
        <w:ind w:firstLineChars="100" w:firstLine="240"/>
        <w:rPr>
          <w:rFonts w:ascii="仿宋" w:eastAsia="仿宋" w:hAnsi="仿宋"/>
          <w:sz w:val="28"/>
          <w:szCs w:val="24"/>
        </w:rPr>
      </w:pPr>
      <w:r>
        <w:rPr>
          <w:rFonts w:ascii="仿宋" w:eastAsia="仿宋" w:hAnsi="仿宋" w:hint="eastAsia"/>
          <w:sz w:val="24"/>
          <w:szCs w:val="24"/>
        </w:rPr>
        <w:t xml:space="preserve">  </w:t>
      </w:r>
    </w:p>
    <w:p w:rsidR="006D7D66" w:rsidRDefault="006D7D66">
      <w:pPr>
        <w:spacing w:line="500" w:lineRule="exact"/>
        <w:ind w:firstLineChars="200" w:firstLine="560"/>
        <w:rPr>
          <w:rFonts w:ascii="仿宋" w:eastAsia="仿宋" w:hAnsi="仿宋"/>
          <w:sz w:val="28"/>
          <w:szCs w:val="24"/>
        </w:rPr>
      </w:pPr>
    </w:p>
    <w:p w:rsidR="006D7D66" w:rsidRDefault="006D7D66"/>
    <w:sectPr w:rsidR="006D7D66" w:rsidSect="00E960E6">
      <w:pgSz w:w="11906" w:h="16838"/>
      <w:pgMar w:top="1440" w:right="1474" w:bottom="1134"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71" w:rsidRDefault="00942071" w:rsidP="00744995">
      <w:r>
        <w:separator/>
      </w:r>
    </w:p>
  </w:endnote>
  <w:endnote w:type="continuationSeparator" w:id="0">
    <w:p w:rsidR="00942071" w:rsidRDefault="00942071" w:rsidP="007449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71" w:rsidRDefault="00942071" w:rsidP="00744995">
      <w:r>
        <w:separator/>
      </w:r>
    </w:p>
  </w:footnote>
  <w:footnote w:type="continuationSeparator" w:id="0">
    <w:p w:rsidR="00942071" w:rsidRDefault="00942071" w:rsidP="007449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D4B04EC"/>
    <w:rsid w:val="006D7D66"/>
    <w:rsid w:val="00744995"/>
    <w:rsid w:val="00915166"/>
    <w:rsid w:val="00942071"/>
    <w:rsid w:val="00D14D8D"/>
    <w:rsid w:val="00E960E6"/>
    <w:rsid w:val="341F3936"/>
    <w:rsid w:val="3D4B04EC"/>
    <w:rsid w:val="40D23685"/>
    <w:rsid w:val="41EC1205"/>
    <w:rsid w:val="551B5D39"/>
    <w:rsid w:val="6D535020"/>
    <w:rsid w:val="79912B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60E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96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449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44995"/>
    <w:rPr>
      <w:rFonts w:asciiTheme="minorHAnsi" w:eastAsiaTheme="minorEastAsia" w:hAnsiTheme="minorHAnsi" w:cstheme="minorBidi"/>
      <w:kern w:val="2"/>
      <w:sz w:val="18"/>
      <w:szCs w:val="18"/>
    </w:rPr>
  </w:style>
  <w:style w:type="paragraph" w:styleId="a5">
    <w:name w:val="footer"/>
    <w:basedOn w:val="a"/>
    <w:link w:val="Char0"/>
    <w:rsid w:val="00744995"/>
    <w:pPr>
      <w:tabs>
        <w:tab w:val="center" w:pos="4153"/>
        <w:tab w:val="right" w:pos="8306"/>
      </w:tabs>
      <w:snapToGrid w:val="0"/>
      <w:jc w:val="left"/>
    </w:pPr>
    <w:rPr>
      <w:sz w:val="18"/>
      <w:szCs w:val="18"/>
    </w:rPr>
  </w:style>
  <w:style w:type="character" w:customStyle="1" w:styleId="Char0">
    <w:name w:val="页脚 Char"/>
    <w:basedOn w:val="a0"/>
    <w:link w:val="a5"/>
    <w:rsid w:val="0074499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7</Pages>
  <Words>1130</Words>
  <Characters>6444</Characters>
  <Application>Microsoft Office Word</Application>
  <DocSecurity>0</DocSecurity>
  <Lines>53</Lines>
  <Paragraphs>15</Paragraphs>
  <ScaleCrop>false</ScaleCrop>
  <Company>微软中国</Company>
  <LinksUpToDate>false</LinksUpToDate>
  <CharactersWithSpaces>7559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刘冰</cp:lastModifiedBy>
  <cp:revision>2</cp:revision>
  <cp:lastPrinted>2018-09-11T06:26:00Z</cp:lastPrinted>
  <dcterms:created xsi:type="dcterms:W3CDTF">2019-03-04T02:16:00Z</dcterms:created>
  <dcterms:modified xsi:type="dcterms:W3CDTF">2019-03-04T02:16:00Z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